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0" w:lineRule="auto" w:line="360"/>
        <w:jc w:val="center"/>
        <w:rPr>
          <w:rFonts w:ascii="Times New Roman" w:cs="Times New Roman" w:hAnsi="Times New Roman"/>
          <w:b/>
          <w:bCs/>
          <w:sz w:val="34"/>
          <w:szCs w:val="34"/>
        </w:rPr>
      </w:pPr>
      <w:r>
        <w:rPr>
          <w:rFonts w:ascii="Times New Roman" w:cs="Times New Roman" w:hAnsi="Times New Roman"/>
          <w:b/>
          <w:bCs/>
          <w:sz w:val="34"/>
          <w:szCs w:val="34"/>
        </w:rPr>
        <w:t>Genetic markers in hepatocellular carcinoma</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Abstract</w:t>
      </w:r>
    </w:p>
    <w:p>
      <w:pPr>
        <w:pStyle w:val="style0"/>
        <w:bidi w:val="false"/>
        <w:spacing w:after="0" w:lineRule="auto" w:line="360"/>
        <w:jc w:val="both"/>
        <w:rPr>
          <w:rFonts w:ascii="Times New Roman" w:cs="Times New Roman" w:hAnsi="Times New Roman"/>
        </w:rPr>
      </w:pPr>
      <w:r>
        <w:rPr>
          <w:rFonts w:ascii="Times New Roman" w:cs="Times New Roman" w:hAnsi="Times New Roman"/>
        </w:rPr>
        <w:t>Hepatocellular carcinoma (HCC) is a major global health burden and a leading cause of cancer-related mortality, commonly arising in the setting of cirrhosis and chronic liver disease. Hepatocarcinogenesis is driven by complex genetic and epigenetic alterations, including mutations in tumour protein p53, telomerase reverse transcriptase (TERT), and catenin beta 1, as well as dysregulation of microRNAs and long non-coding RNAs (lncRNAs). These molecular changes have been identified as potential diagnostic and prognostic indicators for HCC. Among telomere-related molecules, telomeric repeat-containing RNA (TERRA), an lncRNA involved in telomere regulation and genomic stability, has emerged as a promising biomarker. However, TERRA represents only one component of the broader molecular network involved in HCC development and progression</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A comprehensive literature search of PubMed, Scopus, Web of Science, and Google Scholar was conducted to identify experimental and clinical studies published between 2010 and 2025 investigating genetic, epigenetic, and circulating molecular markers in HCC patients</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b/>
          <w:bCs/>
        </w:rPr>
        <w:t>Aim:</w:t>
      </w:r>
      <w:r>
        <w:rPr>
          <w:rFonts w:ascii="Times New Roman" w:cs="Times New Roman" w:hAnsi="Times New Roman"/>
        </w:rPr>
        <w:t xml:space="preserve"> This systematic review aimed to evaluate current evidence regarding genetic, epigenetic, telomere-related, and circulating molecular biomarkers associated with HCC, emphasizing their diagnostic, prognostic, and disease-monitoring potential</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Available evidence indicates that telomere-related alterations, including dysregulated TERRA expression, are associated with enhanced telomerase activity, telomere length changes, tumor aggressiveness, metastasis, and poor clinical outcomes</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tl/>
        </w:rPr>
      </w:pPr>
      <w:r>
        <w:rPr>
          <w:rFonts w:ascii="Times New Roman" w:cs="Times New Roman" w:hAnsi="Times New Roman"/>
          <w:b/>
          <w:bCs/>
        </w:rPr>
        <w:t>Conclusion:</w:t>
      </w:r>
      <w:r>
        <w:rPr>
          <w:rFonts w:ascii="Times New Roman" w:cs="Times New Roman" w:hAnsi="Times New Roman"/>
        </w:rPr>
        <w:t xml:space="preserve"> Molecular biomarkers, including TERRA, show promising potential as non-invasive tools for early detection, prognostic stratification, and monitoring of HCC. Further large-scale studies are needed to validate their clinical utility.</w:t>
      </w:r>
    </w:p>
    <w:p>
      <w:pPr>
        <w:pStyle w:val="style0"/>
        <w:bidi w:val="false"/>
        <w:spacing w:after="0" w:lineRule="auto" w:line="360"/>
        <w:jc w:val="both"/>
        <w:rPr>
          <w:rFonts w:ascii="Times New Roman" w:cs="Times New Roman" w:hAnsi="Times New Roman"/>
          <w:rtl/>
        </w:rPr>
      </w:pPr>
      <w:r>
        <w:rPr>
          <w:rFonts w:ascii="Times New Roman" w:cs="Times New Roman" w:hAnsi="Times New Roman"/>
          <w:b/>
          <w:bCs/>
        </w:rPr>
        <w:t>Keyword</w:t>
      </w:r>
      <w:r>
        <w:rPr>
          <w:rFonts w:ascii="Times New Roman" w:cs="Times New Roman" w:hAnsi="Times New Roman"/>
          <w:rtl/>
        </w:rPr>
        <w:t>:</w:t>
      </w:r>
      <w:r>
        <w:rPr>
          <w:rFonts w:ascii="Times New Roman" w:cs="Times New Roman" w:hAnsi="Times New Roman"/>
        </w:rPr>
        <w:t xml:space="preserve"> </w:t>
      </w:r>
      <w:bookmarkStart w:id="0" w:name="_Hlk226291849"/>
      <w:bookmarkStart w:id="1" w:name="_Hlk226296243"/>
      <w:r>
        <w:rPr>
          <w:rFonts w:ascii="Times New Roman" w:cs="Times New Roman" w:hAnsi="Times New Roman"/>
        </w:rPr>
        <w:t xml:space="preserve">Hepatocellular carcinoma; Long non-coding RNA; </w:t>
      </w:r>
      <w:r>
        <w:rPr>
          <w:rFonts w:ascii="Times New Roman" w:cs="Times New Roman" w:hAnsi="Times New Roman"/>
        </w:rPr>
        <w:t xml:space="preserve">Telomeric repeat-containing RNA (TERRA); </w:t>
      </w:r>
      <w:r>
        <w:rPr>
          <w:rFonts w:ascii="Times New Roman" w:cs="Times New Roman" w:hAnsi="Times New Roman"/>
        </w:rPr>
        <w:t>Telomere biology; Liquid biopsy</w:t>
      </w:r>
      <w:r>
        <w:rPr>
          <w:rFonts w:ascii="Times New Roman" w:cs="Times New Roman" w:hAnsi="Times New Roman"/>
        </w:rPr>
        <w:t>.</w:t>
      </w:r>
      <w:bookmarkEnd w:id="0"/>
    </w:p>
    <w:bookmarkEnd w:id="1"/>
    <w:p>
      <w:pPr>
        <w:pStyle w:val="style0"/>
        <w:bidi w:val="false"/>
        <w:spacing w:after="0" w:lineRule="auto" w:line="360"/>
        <w:jc w:val="both"/>
        <w:rPr>
          <w:rFonts w:ascii="Times New Roman" w:cs="Times New Roman" w:hAnsi="Times New Roman"/>
          <w:rtl/>
        </w:rPr>
      </w:pPr>
    </w:p>
    <w:p>
      <w:pPr>
        <w:pStyle w:val="style0"/>
        <w:bidi w:val="false"/>
        <w:spacing w:after="0" w:lineRule="auto" w:line="360"/>
        <w:jc w:val="both"/>
        <w:rPr>
          <w:rFonts w:ascii="Times New Roman" w:cs="Times New Roman" w:hAnsi="Times New Roman"/>
          <w:rtl/>
        </w:rPr>
      </w:pPr>
    </w:p>
    <w:p>
      <w:pPr>
        <w:pStyle w:val="style0"/>
        <w:bidi w:val="false"/>
        <w:spacing w:after="0" w:lineRule="auto" w:line="360"/>
        <w:jc w:val="both"/>
        <w:rPr>
          <w:rFonts w:ascii="Times New Roman" w:cs="Times New Roman" w:hAnsi="Times New Roman"/>
          <w:rtl/>
        </w:rPr>
      </w:pPr>
    </w:p>
    <w:p>
      <w:pPr>
        <w:pStyle w:val="style0"/>
        <w:bidi w:val="false"/>
        <w:spacing w:after="0" w:lineRule="auto" w:line="360"/>
        <w:jc w:val="both"/>
        <w:rPr>
          <w:rFonts w:ascii="Times New Roman" w:cs="Times New Roman" w:hAnsi="Times New Roman"/>
          <w:rtl/>
        </w:rPr>
      </w:pPr>
    </w:p>
    <w:p>
      <w:pPr>
        <w:pStyle w:val="style0"/>
        <w:bidi w:val="false"/>
        <w:spacing w:after="0" w:lineRule="auto" w:line="360"/>
        <w:jc w:val="both"/>
        <w:rPr>
          <w:rFonts w:ascii="Times New Roman" w:cs="Times New Roman" w:hAnsi="Times New Roman"/>
          <w:rtl/>
        </w:rPr>
      </w:pPr>
    </w:p>
    <w:p>
      <w:pPr>
        <w:pStyle w:val="style0"/>
        <w:bidi w:val="false"/>
        <w:spacing w:after="0" w:lineRule="auto" w:line="360"/>
        <w:jc w:val="both"/>
        <w:rPr>
          <w:rFonts w:ascii="Times New Roman" w:cs="Times New Roman" w:hAnsi="Times New Roman"/>
          <w:rtl/>
        </w:rPr>
      </w:pPr>
    </w:p>
    <w:p>
      <w:pPr>
        <w:pStyle w:val="style0"/>
        <w:bidi w:val="false"/>
        <w:spacing w:after="0" w:lineRule="auto" w:line="360"/>
        <w:rPr>
          <w:rFonts w:ascii="Times New Roman" w:cs="Times New Roman" w:hAnsi="Times New Roman"/>
        </w:rPr>
        <w:sectPr>
          <w:pgSz w:w="11906" w:h="16838" w:orient="portrait"/>
          <w:pgMar w:top="1440" w:right="1440" w:bottom="1440" w:left="1440" w:header="720" w:footer="720" w:gutter="0"/>
          <w:cols w:space="720"/>
          <w:docGrid w:linePitch="360"/>
        </w:sectPr>
      </w:pPr>
    </w:p>
    <w:p>
      <w:pPr>
        <w:pStyle w:val="style0"/>
        <w:bidi w:val="false"/>
        <w:spacing w:after="0" w:lineRule="auto" w:line="360"/>
        <w:rPr>
          <w:rFonts w:ascii="Times New Roman" w:cs="Times New Roman" w:hAnsi="Times New Roman"/>
          <w:b/>
          <w:bCs/>
        </w:rPr>
      </w:pPr>
      <w:r>
        <w:rPr>
          <w:rFonts w:ascii="Times New Roman" w:cs="Times New Roman" w:hAnsi="Times New Roman"/>
          <w:b/>
          <w:bCs/>
        </w:rPr>
        <w:t>Introduction</w:t>
      </w:r>
    </w:p>
    <w:p>
      <w:pPr>
        <w:pStyle w:val="style0"/>
        <w:bidi w:val="false"/>
        <w:spacing w:after="0" w:lineRule="auto" w:line="360"/>
        <w:jc w:val="both"/>
        <w:rPr>
          <w:rFonts w:ascii="Times New Roman" w:cs="Times New Roman" w:hAnsi="Times New Roman"/>
        </w:rPr>
      </w:pPr>
      <w:r>
        <w:rPr>
          <w:rFonts w:ascii="Times New Roman" w:cs="Times New Roman" w:hAnsi="Times New Roman"/>
        </w:rPr>
        <w:t>Hepatocellular carcinoma (HCC), the most common primary liver malignancy, has a remarkable effect on global health.</w:t>
      </w:r>
      <w:r>
        <w:rPr>
          <w:rFonts w:ascii="Times New Roman" w:cs="Times New Roman" w:hAnsi="Times New Roman"/>
        </w:rPr>
        <w:t xml:space="preserve"> </w:t>
      </w:r>
      <w:r>
        <w:rPr>
          <w:rFonts w:ascii="Times New Roman" w:cs="Times New Roman" w:hAnsi="Times New Roman"/>
        </w:rPr>
        <w:t xml:space="preserve">HCC was the sixth most frequently </w:t>
      </w:r>
      <w:r>
        <w:rPr>
          <w:rFonts w:ascii="Times New Roman" w:cs="Times New Roman" w:hAnsi="Times New Roman"/>
        </w:rPr>
        <w:t>identified</w:t>
      </w:r>
      <w:r>
        <w:rPr>
          <w:rFonts w:ascii="Times New Roman" w:cs="Times New Roman" w:hAnsi="Times New Roman"/>
        </w:rPr>
        <w:t xml:space="preserve"> cancer, </w:t>
      </w:r>
      <w:r>
        <w:rPr>
          <w:rFonts w:ascii="Times New Roman" w:cs="Times New Roman" w:hAnsi="Times New Roman"/>
        </w:rPr>
        <w:t>the fourth leading cause of cancer-related mortality</w:t>
      </w:r>
      <w:r>
        <w:rPr>
          <w:rFonts w:ascii="Times New Roman" w:cs="Times New Roman" w:hAnsi="Times New Roman"/>
        </w:rPr>
        <w:t xml:space="preserve">, and </w:t>
      </w:r>
      <w:r>
        <w:rPr>
          <w:rFonts w:ascii="Times New Roman" w:cs="Times New Roman" w:hAnsi="Times New Roman"/>
        </w:rPr>
        <w:t>ranked as the second most frequent cause of cancer mortality in men globally in 2020</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It is the fourth most </w:t>
      </w:r>
      <w:r>
        <w:rPr>
          <w:rFonts w:ascii="Times New Roman" w:cs="Times New Roman" w:hAnsi="Times New Roman"/>
        </w:rPr>
        <w:t>dominant</w:t>
      </w:r>
      <w:r>
        <w:rPr>
          <w:rFonts w:ascii="Times New Roman" w:cs="Times New Roman" w:hAnsi="Times New Roman"/>
        </w:rPr>
        <w:t xml:space="preserve"> form of malignancy in Egypt</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[2]</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rPr>
        <w:t xml:space="preserve">In Egypt, HCC is regarded as a severe public health concern, causing 33.63% of all malignancies in </w:t>
      </w:r>
      <w:r>
        <w:rPr>
          <w:rFonts w:ascii="Times New Roman" w:cs="Times New Roman" w:hAnsi="Times New Roman"/>
        </w:rPr>
        <w:t>male</w:t>
      </w:r>
      <w:r>
        <w:rPr>
          <w:rFonts w:ascii="Times New Roman" w:cs="Times New Roman" w:hAnsi="Times New Roman"/>
        </w:rPr>
        <w:t xml:space="preserve"> and 13.54% in women</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[3]</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Hepatitis B, viral hepatitis C, and alcoholic and non-alcoholic fatty liver disease are the primary risk factors for liver cancer in clinical practice</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[4]</w:t>
      </w:r>
      <w:r>
        <w:rPr>
          <w:rFonts w:ascii="Times New Roman" w:cs="Times New Roman" w:hAnsi="Times New Roman"/>
        </w:rPr>
        <w:fldChar w:fldCharType="end"/>
      </w:r>
      <w:r>
        <w:rPr>
          <w:rFonts w:ascii="Times New Roman" w:cs="Times New Roman" w:hAnsi="Times New Roman"/>
        </w:rPr>
        <w:t>.</w:t>
      </w:r>
      <w:r>
        <w:rPr>
          <w:rFonts w:ascii="Times New Roman" w:cs="Times New Roman" w:hAnsi="Times New Roman"/>
        </w:rPr>
        <w:t xml:space="preserve"> </w:t>
      </w:r>
      <w:r>
        <w:rPr>
          <w:rFonts w:ascii="Times New Roman" w:cs="Times New Roman" w:hAnsi="Times New Roman"/>
        </w:rPr>
        <w:t xml:space="preserve">Cirrhosis, which is induced by </w:t>
      </w:r>
      <w:r>
        <w:rPr>
          <w:rFonts w:ascii="Times New Roman" w:cs="Times New Roman" w:hAnsi="Times New Roman"/>
        </w:rPr>
        <w:t xml:space="preserve">HBV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HCV</w:t>
      </w:r>
      <w:r>
        <w:rPr>
          <w:rFonts w:ascii="Times New Roman" w:cs="Times New Roman" w:hAnsi="Times New Roman"/>
        </w:rPr>
        <w:t xml:space="preserve">, is the most </w:t>
      </w:r>
      <w:r>
        <w:rPr>
          <w:rFonts w:ascii="Times New Roman" w:cs="Times New Roman" w:hAnsi="Times New Roman"/>
        </w:rPr>
        <w:t>prevalent risk factor for HCC globally</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&lt;EndNote&gt;&lt;Cite&gt;&lt;Author&gt;Nomair&lt;/Author&gt;&lt;Year&gt;2019&lt;/Year&gt;&lt;RecNum&gt;23&lt;/RecNum&gt;&lt;DisplayText&gt;&lt;style face="superscript"&gt;[5]&lt;/style&gt;&lt;/DisplayText&gt;&lt;record&gt;&lt;rec-number&gt;23&lt;/rec-number&gt;&lt;foreign-keys&gt;&lt;key app="EN" db-id="vpd02ex942spede959xvt05ns5pw50xas9d9" timestamp="1777286914"&gt;23&lt;/key&gt;&lt;/foreign-keys&gt;&lt;ref-type name="Journal Article"&gt;17&lt;/ref-type&gt;&lt;contributors&gt;&lt;authors&gt;&lt;author&gt;Nomair, Azhar&lt;/author&gt;&lt;author&gt;Madkour, Marwa&lt;/author&gt;&lt;author&gt;Shamseya, Mohammed&lt;/author&gt;&lt;author&gt;El-Sheredy, Heba&lt;/author&gt;&lt;author&gt;Shokr, Ahmed&lt;/author&gt;&lt;/authors&gt;&lt;/contributors&gt;&lt;titles&gt;&lt;title&gt;Profiling of plasma metabolomics in patients with hepatitis C-related liver cirrhosis and hepatocellular carcinoma&lt;/title&gt;&lt;secondary-title&gt;Clinical and Experimental Hepatology&lt;/secondary-title&gt;&lt;/titles&gt;&lt;periodical&gt;&lt;full-title&gt;Clinical and Experimental Hepatology&lt;/full-title&gt;&lt;/periodical&gt;&lt;pages&gt;317-326&lt;/pages&gt;&lt;volume&gt;5&lt;/volume&gt;&lt;dates&gt;&lt;year&gt;2019&lt;/year&gt;&lt;pub-dates&gt;&lt;date&gt;11/01&lt;/date&gt;&lt;/pub-dates&gt;&lt;/dates&gt;&lt;urls&gt;&lt;/urls&gt;&lt;electronic-resource-num&gt;10.5114/ceh.2019.89478&lt;/electronic-resource-num&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[5]</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rPr>
        <w:t>Additionally, there are numerous genetic and epigenetic factors that contribute to the complex molecular pathogenesis of liver cirrhosis and its progression to HCC</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&lt;EndNote&gt;&lt;Cite&gt;&lt;Author&gt;El-Bendary&lt;/Author&gt;&lt;Year&gt;2020&lt;/Year&gt;&lt;RecNum&gt;24&lt;/RecNum&gt;&lt;DisplayText&gt;&lt;style face="superscript"&gt;[6]&lt;/style&gt;&lt;/DisplayText&gt;&lt;record&gt;&lt;rec-number&gt;24&lt;/rec-number&gt;&lt;foreign-keys&gt;&lt;key app="EN" db-id="vpd02ex942spede959xvt05ns5pw50xas9d9" timestamp="1777286986"&gt;24&lt;/key&gt;&lt;/foreign-keys&gt;&lt;ref-type name="Journal Article"&gt;17&lt;/ref-type&gt;&lt;contributors&gt;&lt;authors&gt;&lt;author&gt;El-Bendary, Mahmoud&lt;/author&gt;&lt;author&gt;Nour, Dina&lt;/author&gt;&lt;author&gt;Arafa, Mona&lt;/author&gt;&lt;author&gt;Neamatallah, Mustafa&lt;/author&gt;&lt;/authors&gt;&lt;/contributors&gt;&lt;titles&gt;&lt;title&gt;Methylation of tumour suppressor genes RUNX3, RASSF1A and E-Cadherin in HCV-related liver cirrhosis and hepatocellular carcinoma&lt;/title&gt;&lt;secondary-title&gt;British journal of biomedical science&lt;/secondary-title&gt;&lt;/titles&gt;&lt;periodical&gt;&lt;full-title&gt;British journal of biomedical science&lt;/full-title&gt;&lt;/periodical&gt;&lt;pages&gt;35-40&lt;/pages&gt;&lt;volume&gt;77&lt;/volume&gt;&lt;number&gt;1&lt;/number&gt;&lt;dates&gt;&lt;year&gt;2020&lt;/year&gt;&lt;/dates&gt;&lt;isbn&gt;0967-4845&lt;/isbn&gt;&lt;urls&gt;&lt;/urls&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[6]</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Advancements in genome sequencing and analysis have facilitated the discovery of a multitude of RNA transcripts that exhibit properties similar to mRNAs but are not translated into proteins, known as long noncoding RNAs (lncRNAs).</w:t>
      </w:r>
      <w:r>
        <w:rPr>
          <w:rFonts w:ascii="Times New Roman" w:cs="Times New Roman" w:hAnsi="Times New Roman"/>
        </w:rPr>
        <w:t xml:space="preserve"> These transcripts are longer than 200 nucleotides.</w:t>
      </w:r>
      <w:r>
        <w:rPr>
          <w:rFonts w:ascii="Times New Roman" w:cs="Times New Roman" w:hAnsi="Times New Roman" w:hint="cs"/>
          <w:rtl/>
        </w:rPr>
        <w:t xml:space="preserve"> </w:t>
      </w:r>
      <w:r>
        <w:rPr>
          <w:rFonts w:ascii="Times New Roman" w:cs="Times New Roman" w:hAnsi="Times New Roman"/>
        </w:rPr>
        <w:t xml:space="preserve">A type of lncRNA is telomeric repeat-containing RNA (TERRA). </w:t>
      </w:r>
      <w:r>
        <w:rPr>
          <w:rFonts w:ascii="Times New Roman" w:cs="Times New Roman" w:hAnsi="Times New Roman"/>
        </w:rPr>
        <w:t>From subtelomeric regions, RNA polymerase II transcribes telomeres to large noncoding TERRA.</w:t>
      </w:r>
      <w:r>
        <w:rPr>
          <w:rFonts w:ascii="Times New Roman" w:cs="Times New Roman" w:hAnsi="Times New Roman"/>
        </w:rPr>
        <w:t xml:space="preserve"> </w:t>
      </w:r>
      <w:r>
        <w:rPr>
          <w:rFonts w:ascii="Times New Roman" w:cs="Times New Roman" w:hAnsi="Times New Roman"/>
        </w:rPr>
        <w:t>The chromosome extremities of telomeres deteriorate in the absence of regulatory mechanisms, resulting in their dysfunction and the promotion of DNA damage. This damage leads to cellular senescence, pervasive genome instability, and apoptosis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&lt;EndNote&gt;&lt;Cite&gt;&lt;Author&gt;Deng&lt;/Author&gt;&lt;Year&gt;2008&lt;/Year&gt;&lt;RecNum&gt;25&lt;/RecNum&gt;&lt;DisplayText&gt;&lt;style face="superscript"&gt;[7]&lt;/style&gt;&lt;/DisplayText&gt;&lt;record&gt;&lt;rec-number&gt;25&lt;/rec-number&gt;&lt;foreign-keys&gt;&lt;key app="EN" db-id="vpd02ex942spede959xvt05ns5pw50xas9d9" timestamp="1777287030"&gt;25&lt;/key&gt;&lt;/foreign-keys&gt;&lt;ref-type name="Journal Article"&gt;17&lt;/ref-type&gt;&lt;contributors&gt;&lt;authors&gt;&lt;author&gt;Deng, Yibin&lt;/author&gt;&lt;author&gt;Chan, Suzanne S&lt;/author&gt;&lt;author&gt;Chang, Sandy&lt;/author&gt;&lt;/authors&gt;&lt;/contributors&gt;&lt;titles&gt;&lt;title&gt;Telomere dysfunction and tumour suppression: the senescence connection&lt;/title&gt;&lt;secondary-title&gt;Nature reviews cancer&lt;/secondary-title&gt;&lt;/titles&gt;&lt;periodical&gt;&lt;full-title&gt;Nature reviews cancer&lt;/full-title&gt;&lt;/periodical&gt;&lt;pages&gt;450-458&lt;/pages&gt;&lt;volume&gt;8&lt;/volume&gt;&lt;number&gt;6&lt;/number&gt;&lt;dates&gt;&lt;year&gt;2008&lt;/year&gt;&lt;/dates&gt;&lt;isbn&gt;1474-175X&lt;/isbn&gt;&lt;urls&gt;&lt;/urls&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[7]</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Several studies have demonstrated the correlation between deregulated TERRA expression and cancer. Nevertheless, the function of TERRA in human solid malignancies is mainly unexplored</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&lt;EndNote&gt;&lt;Cite&gt;&lt;Author&gt;Kroupa&lt;/Author&gt;&lt;Year&gt;2022&lt;/Year&gt;&lt;RecNum&gt;26&lt;/RecNum&gt;&lt;DisplayText&gt;&lt;style face="superscript"&gt;[8]&lt;/style&gt;&lt;/DisplayText&gt;&lt;record&gt;&lt;rec-number&gt;26&lt;/rec-number&gt;&lt;foreign-keys&gt;&lt;key app="EN" db-id="vpd02ex942spede959xvt05ns5pw50xas9d9" timestamp="1777287063"&gt;26&lt;/key&gt;&lt;/foreign-keys&gt;&lt;ref-type name="Journal Article"&gt;17&lt;/ref-type&gt;&lt;contributors&gt;&lt;authors&gt;&lt;author&gt;Kroupa, Michal&lt;/author&gt;&lt;author&gt;Tomasova, Kristyna&lt;/author&gt;&lt;author&gt;Kavec, Miriam&lt;/author&gt;&lt;author&gt;Skrobanek, Pavel&lt;/author&gt;&lt;author&gt;Buchler, Tomas&lt;/author&gt;&lt;author&gt;Kumar, Rajiv&lt;/author&gt;&lt;author&gt;Vodickova, Ludmila&lt;/author&gt;&lt;author&gt;Vodicka, Pavel&lt;/author&gt;&lt;/authors&gt;&lt;/contributors&gt;&lt;titles&gt;&lt;title&gt;TElomeric repeat-containing RNA (TERRA): Physiological functions and relevance in cancer&lt;/title&gt;&lt;secondary-title&gt;Frontiers in oncology&lt;/secondary-title&gt;&lt;/titles&gt;&lt;periodical&gt;&lt;full-title&gt;Frontiers in oncology&lt;/full-title&gt;&lt;/periodical&gt;&lt;pages&gt;913314&lt;/pages&gt;&lt;volume&gt;12&lt;/volume&gt;&lt;dates&gt;&lt;year&gt;2022&lt;/year&gt;&lt;/dates&gt;&lt;isbn&gt;2234-943X&lt;/isbn&gt;&lt;urls&gt;&lt;/urls&gt;&lt;/record&gt;&lt;/Cite&gt;&lt;/EndNote&gt;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[8]</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tl/>
        </w:rPr>
      </w:pPr>
      <w:r>
        <w:rPr>
          <w:rFonts w:ascii="Times New Roman" w:cs="Times New Roman" w:hAnsi="Times New Roman"/>
        </w:rPr>
        <w:t>In the tumour tissue of patients diagnosed with HCC, downregulation of TERRA and TTAGGG repeat binding factor-1 (TRF1) and upregulation of TRF2 were observed.</w:t>
      </w:r>
      <w:r>
        <w:rPr>
          <w:rFonts w:ascii="Times New Roman" w:cs="Times New Roman" w:hAnsi="Times New Roman"/>
        </w:rPr>
        <w:t xml:space="preserve"> </w:t>
      </w:r>
      <w:r>
        <w:rPr>
          <w:rFonts w:ascii="Times New Roman" w:cs="Times New Roman" w:hAnsi="Times New Roman"/>
        </w:rPr>
        <w:t>In vivo and in vitro, patients' poor prognoses were correlated with a decreased level of TERRA, as well as with accelerated cell proliferation and metastatic progression of HCC.</w:t>
      </w:r>
      <w:r>
        <w:rPr>
          <w:rFonts w:ascii="Times New Roman" w:cs="Times New Roman" w:hAnsi="Times New Roman"/>
        </w:rPr>
        <w:t xml:space="preserve"> </w:t>
      </w:r>
      <w:r>
        <w:rPr>
          <w:rFonts w:ascii="Times New Roman" w:cs="Times New Roman" w:hAnsi="Times New Roman"/>
        </w:rPr>
        <w:t xml:space="preserve">Furthermore, the depletion of TERRA in HCC cell lines resulted in a substantial </w:t>
      </w:r>
      <w:r>
        <w:rPr>
          <w:rFonts w:ascii="Times New Roman" w:cs="Times New Roman" w:hAnsi="Times New Roman"/>
        </w:rPr>
        <w:t>elevation</w:t>
      </w:r>
      <w:r>
        <w:rPr>
          <w:rFonts w:ascii="Times New Roman" w:cs="Times New Roman" w:hAnsi="Times New Roman"/>
        </w:rPr>
        <w:t xml:space="preserve"> in telomere elongation,</w:t>
      </w:r>
      <w:r>
        <w:rPr>
          <w:rFonts w:ascii="Times New Roman" w:cs="Times New Roman" w:hAnsi="Times New Roman"/>
        </w:rPr>
        <w:t xml:space="preserve"> </w:t>
      </w:r>
      <w:r>
        <w:rPr>
          <w:rFonts w:ascii="Times New Roman" w:cs="Times New Roman" w:hAnsi="Times New Roman"/>
        </w:rPr>
        <w:t xml:space="preserve">telomerase activity, </w:t>
      </w:r>
      <w:r>
        <w:rPr>
          <w:rFonts w:ascii="Times New Roman" w:cs="Times New Roman" w:hAnsi="Times New Roman"/>
        </w:rPr>
        <w:t>and metastasis formation, indicating that the metastatic spread of HCC is facilitated by its depletion</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[9]</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The current comprehension of the molecular basis of hephepatoatocellular carcinoma has been substantially enhanced by recent advancements in the field of genomics and molecular profiling.</w:t>
      </w:r>
      <w:r>
        <w:rPr>
          <w:rFonts w:ascii="Times New Roman" w:cs="Times New Roman" w:hAnsi="Times New Roman"/>
        </w:rPr>
        <w:t xml:space="preserve"> Various genetic alterations have been identified as important factors involved in the </w:t>
      </w:r>
      <w:r>
        <w:rPr>
          <w:rFonts w:ascii="Times New Roman" w:cs="Times New Roman" w:hAnsi="Times New Roman"/>
        </w:rPr>
        <w:t xml:space="preserve">hepatocarcinogenesis process. </w:t>
      </w:r>
      <w:r>
        <w:rPr>
          <w:rFonts w:ascii="Times New Roman" w:cs="Times New Roman" w:hAnsi="Times New Roman"/>
        </w:rPr>
        <w:t>Mutations in the telomerase reverse transcriptase (TERT), tumour protein p53 (TP53), and catenin beta-1 (CTNNB1) genes are among the most frequently identified genetic alterations.</w:t>
      </w:r>
      <w:r>
        <w:rPr>
          <w:rFonts w:ascii="Times New Roman" w:cs="Times New Roman" w:hAnsi="Times New Roman"/>
        </w:rPr>
        <w:t xml:space="preserve"> These genetic alterations are considered to be the most important driver genes involved in the </w:t>
      </w:r>
      <w:r>
        <w:rPr>
          <w:rFonts w:ascii="Times New Roman" w:cs="Times New Roman" w:hAnsi="Times New Roman"/>
        </w:rPr>
        <w:t xml:space="preserve">HCC </w:t>
      </w:r>
      <w:r>
        <w:rPr>
          <w:rFonts w:ascii="Times New Roman" w:cs="Times New Roman" w:hAnsi="Times New Roman"/>
        </w:rPr>
        <w:t xml:space="preserve">development process. These genetic alterations are responsible for the genomic instability, uncontrolled cell growth, and tumor development. These genetic alterations are considered to be the most important genetic alterations involved in the </w:t>
      </w:r>
      <w:r>
        <w:rPr>
          <w:rFonts w:ascii="Times New Roman" w:cs="Times New Roman" w:hAnsi="Times New Roman"/>
        </w:rPr>
        <w:t xml:space="preserve">HCC </w:t>
      </w:r>
      <w:r>
        <w:rPr>
          <w:rFonts w:ascii="Times New Roman" w:cs="Times New Roman" w:hAnsi="Times New Roman"/>
        </w:rPr>
        <w:t xml:space="preserve">development process. These genetic alterations are considered to be the most important genetic alterations involved in the </w:t>
      </w:r>
      <w:r>
        <w:rPr>
          <w:rFonts w:ascii="Times New Roman" w:cs="Times New Roman" w:hAnsi="Times New Roman"/>
        </w:rPr>
        <w:t xml:space="preserve">HCC </w:t>
      </w:r>
      <w:r>
        <w:rPr>
          <w:rFonts w:ascii="Times New Roman" w:cs="Times New Roman" w:hAnsi="Times New Roman"/>
        </w:rPr>
        <w:t>development process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[10]</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Apart from protein-coding genes, non-coding RNAs have been identified as essential regulators of the expression of genes and tumor characteristics in </w:t>
      </w:r>
      <w:r>
        <w:rPr>
          <w:rFonts w:ascii="Times New Roman" w:cs="Times New Roman" w:hAnsi="Times New Roman"/>
        </w:rPr>
        <w:t>HCC</w:t>
      </w:r>
      <w:r>
        <w:rPr>
          <w:rFonts w:ascii="Times New Roman" w:cs="Times New Roman" w:hAnsi="Times New Roman"/>
        </w:rPr>
        <w:t xml:space="preserve">. </w:t>
      </w:r>
      <w:r>
        <w:rPr>
          <w:rFonts w:ascii="Times New Roman" w:cs="Times New Roman" w:hAnsi="Times New Roman"/>
        </w:rPr>
        <w:t xml:space="preserve">MicroRNAs (miRNAs) and long non-coding RNAs (lncRNAs) are implicated in numerous biological processes that are </w:t>
      </w:r>
      <w:r>
        <w:rPr>
          <w:rFonts w:ascii="Times New Roman" w:cs="Times New Roman" w:hAnsi="Times New Roman"/>
        </w:rPr>
        <w:t>related</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HCC</w:t>
      </w:r>
      <w:r>
        <w:rPr>
          <w:rFonts w:ascii="Times New Roman" w:cs="Times New Roman" w:hAnsi="Times New Roman"/>
        </w:rPr>
        <w:t xml:space="preserve"> </w:t>
      </w:r>
      <w:r>
        <w:rPr>
          <w:rFonts w:ascii="Times New Roman" w:cs="Times New Roman" w:hAnsi="Times New Roman"/>
        </w:rPr>
        <w:t>development.</w:t>
      </w:r>
      <w:r>
        <w:rPr>
          <w:rFonts w:ascii="Times New Roman" w:cs="Times New Roman" w:hAnsi="Times New Roman"/>
        </w:rPr>
        <w:t xml:space="preserve"> The expression of various non-coding RNAs, in</w:t>
      </w:r>
      <w:bookmarkStart w:id="2" w:name="_GoBack"/>
      <w:bookmarkEnd w:id="2"/>
      <w:r>
        <w:rPr>
          <w:rFonts w:ascii="Times New Roman" w:cs="Times New Roman" w:hAnsi="Times New Roman"/>
        </w:rPr>
        <w:t xml:space="preserve">cluding miR-122, miR-21, HULC, and MALAT1, was found to be altered in HCC patients. </w:t>
      </w:r>
      <w:r>
        <w:rPr>
          <w:rFonts w:ascii="Times New Roman" w:cs="Times New Roman" w:hAnsi="Times New Roman"/>
        </w:rPr>
        <w:t>The expression of these non-coding RNAs has the potential to serve as an indicator for the early detection of HCC. The preoccupation with the potential of non-coding RNA molecules as minimally invasive biomarkers for the diagnosis of HCC is on the rise</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&lt;EndNote&gt;&lt;Cite&gt;&lt;Author&gt;Manna&lt;/Author&gt;&lt;Year&gt;2020&lt;/Year&gt;&lt;RecNum&gt;32&lt;/RecNum&gt;&lt;DisplayText&gt;&lt;style face="superscript"&gt;[11]&lt;/style&gt;&lt;/DisplayText&gt;&lt;record&gt;&lt;rec-number&gt;32&lt;/rec-number&gt;&lt;foreign-keys&gt;&lt;key app="EN" db-id="vpd02ex942spede959xvt05ns5pw50xas9d9" timestamp="1777287499"&gt;32&lt;/key&gt;&lt;/foreign-keys&gt;&lt;ref-type name="Journal Article"&gt;17&lt;/ref-type&gt;&lt;contributors&gt;&lt;authors&gt;&lt;author&gt;Manna, D.&lt;/author&gt;&lt;author&gt;Sarkar, D.&lt;/author&gt;&lt;/authors&gt;&lt;/contributors&gt;&lt;auth-address&gt;Massey Cancer Center, Department of Human and Molecular Genetics, VCU Institute of Molecular Medicine (VIMM), Virginia Commonwealth University, Richmond, VA 23298, USA.&lt;/auth-address&gt;&lt;titles&gt;&lt;title&gt;Non-Coding RNAs: Regulating Disease Progression and Therapy Resistance in Hepatocellular Carcinoma&lt;/title&gt;&lt;secondary-title&gt;Cancers (Basel)&lt;/secondary-title&gt;&lt;/titles&gt;&lt;periodical&gt;&lt;full-title&gt;Cancers (Basel)&lt;/full-title&gt;&lt;/periodical&gt;&lt;volume&gt;12&lt;/volume&gt;&lt;number&gt;5&lt;/number&gt;&lt;edition&gt;2020/05/21&lt;/edition&gt;&lt;keywords&gt;&lt;keyword&gt;hepatocellular carcinoma&lt;/keyword&gt;&lt;keyword&gt;non-coding RNA&lt;/keyword&gt;&lt;keyword&gt;therapy resistance&lt;/keyword&gt;&lt;/keywords&gt;&lt;dates&gt;&lt;year&gt;2020&lt;/year&gt;&lt;pub-dates&gt;&lt;date&gt;May 15&lt;/date&gt;&lt;/pub-dates&gt;&lt;/dates&gt;&lt;isbn&gt;2072-6694 (Print)&amp;#xD;2072-6694&lt;/isbn&gt;&lt;accession-num&gt;32429062&lt;/accession-num&gt;&lt;urls&gt;&lt;/urls&gt;&lt;custom2&gt;PMC7281199&lt;/custom2&gt;&lt;electronic-resource-num&gt;10.3390/cancers12051243&lt;/electronic-resource-num&gt;&lt;remote-database-provider&gt;NLM&lt;/remote-database-provider&gt;&lt;language&gt;eng&lt;/language&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[11]</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In HCC, the expressions of TERRA and telomerase RNA component (TERC) are dysregulated on both the cellular and extracellular levels. </w:t>
      </w:r>
      <w:r>
        <w:rPr>
          <w:rFonts w:ascii="Times New Roman" w:cs="Times New Roman" w:hAnsi="Times New Roman"/>
        </w:rPr>
        <w:t xml:space="preserve">A promising method for non-invasive diagnostic molecular </w:t>
      </w:r>
      <w:r>
        <w:rPr>
          <w:rFonts w:ascii="Times New Roman" w:cs="Times New Roman" w:hAnsi="Times New Roman"/>
        </w:rPr>
        <w:t>marker</w:t>
      </w:r>
      <w:r>
        <w:rPr>
          <w:rFonts w:ascii="Times New Roman" w:cs="Times New Roman" w:hAnsi="Times New Roman"/>
        </w:rPr>
        <w:t xml:space="preserve"> of HCC may involve the combined </w:t>
      </w:r>
      <w:r>
        <w:rPr>
          <w:rFonts w:ascii="Times New Roman" w:cs="Times New Roman" w:hAnsi="Times New Roman"/>
        </w:rPr>
        <w:t>identification</w:t>
      </w:r>
      <w:r>
        <w:rPr>
          <w:rFonts w:ascii="Times New Roman" w:cs="Times New Roman" w:hAnsi="Times New Roman"/>
        </w:rPr>
        <w:t xml:space="preserve"> of TERC and TERRA in plasma</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[12]</w:t>
      </w:r>
      <w:r>
        <w:rPr>
          <w:rFonts w:ascii="Times New Roman" w:cs="Times New Roman" w:hAnsi="Times New Roman"/>
        </w:rPr>
        <w:fldChar w:fldCharType="end"/>
      </w:r>
      <w:r>
        <w:rPr>
          <w:rFonts w:ascii="Times New Roman" w:cs="Times New Roman" w:hAnsi="Times New Roman"/>
        </w:rPr>
        <w:t>.</w:t>
      </w:r>
      <w:r>
        <w:rPr>
          <w:rFonts w:ascii="Times New Roman" w:cs="Times New Roman" w:hAnsi="Times New Roman"/>
        </w:rPr>
        <w:t xml:space="preserve"> So,</w:t>
      </w:r>
      <w:r>
        <w:rPr>
          <w:rFonts w:ascii="Times New Roman" w:cs="Times New Roman" w:hAnsi="Times New Roman"/>
        </w:rPr>
        <w:t xml:space="preserve"> </w:t>
      </w:r>
      <w:r>
        <w:rPr>
          <w:rFonts w:ascii="Times New Roman" w:cs="Times New Roman" w:hAnsi="Times New Roman"/>
        </w:rPr>
        <w:t>t</w:t>
      </w:r>
      <w:r>
        <w:rPr>
          <w:rFonts w:ascii="Times New Roman" w:cs="Times New Roman" w:hAnsi="Times New Roman"/>
        </w:rPr>
        <w:t>his systematic review aimed to evaluate current evidence regarding genetic, epigenetic, telomere-related, and circulating molecular biomarkers associated with HCC, emphasizing their diagnostic, prognostic, and disease-monitoring potential</w:t>
      </w:r>
      <w:r>
        <w:rPr>
          <w:rFonts w:ascii="Times New Roman" w:cs="Times New Roman" w:hAnsi="Times New Roman"/>
          <w:rtl/>
        </w:rPr>
        <w:t>.</w:t>
      </w:r>
      <w:r>
        <w:rPr>
          <w:rFonts w:ascii="Times New Roman" w:cs="Times New Roman" w:hAnsi="Times New Roman"/>
        </w:rPr>
        <w:t xml:space="preserve"> </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Methodology</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Literature Search Strategy</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This systematic review was </w:t>
      </w:r>
      <w:r>
        <w:rPr>
          <w:rFonts w:ascii="Times New Roman" w:cs="Times New Roman" w:hAnsi="Times New Roman"/>
        </w:rPr>
        <w:t>carried out</w:t>
      </w:r>
      <w:r>
        <w:rPr>
          <w:rFonts w:ascii="Times New Roman" w:cs="Times New Roman" w:hAnsi="Times New Roman"/>
        </w:rPr>
        <w:t xml:space="preserve"> in conformance with the PRISMA 2020 guidelines. A comprehensive and structured literature search was conducted across multiple electronic databases, such as PubMed, Scopus, Web of Science, and the Cochrane Library, to identify pertinent studies published between</w:t>
      </w:r>
      <w:r>
        <w:rPr>
          <w:rFonts w:ascii="Times New Roman" w:cs="Times New Roman" w:hAnsi="Times New Roman"/>
        </w:rPr>
        <w:t xml:space="preserve"> January 2010 and September 2025 that investigated genetic and molecular biomarkers associated with </w:t>
      </w:r>
      <w:r>
        <w:rPr>
          <w:rFonts w:ascii="Times New Roman" w:cs="Times New Roman" w:hAnsi="Times New Roman"/>
        </w:rPr>
        <w:t>HCC</w:t>
      </w:r>
      <w:r>
        <w:rPr>
          <w:rFonts w:ascii="Times New Roman" w:cs="Times New Roman" w:hAnsi="Times New Roman"/>
        </w:rPr>
        <w:t xml:space="preserve">, with particular focus on telomere-related molecules such as </w:t>
      </w:r>
      <w:r>
        <w:rPr>
          <w:rFonts w:ascii="Times New Roman" w:cs="Times New Roman" w:hAnsi="Times New Roman"/>
        </w:rPr>
        <w:t>TERRA.</w:t>
      </w:r>
      <w:r>
        <w:rPr>
          <w:rFonts w:ascii="Times New Roman" w:cs="Times New Roman" w:hAnsi="Times New Roman"/>
        </w:rPr>
        <w:t xml:space="preserve"> Approval code: MD 8-10-2023</w:t>
      </w:r>
    </w:p>
    <w:p>
      <w:pPr>
        <w:pStyle w:val="style0"/>
        <w:bidi w:val="false"/>
        <w:spacing w:after="0" w:lineRule="auto" w:line="360"/>
        <w:jc w:val="both"/>
        <w:rPr>
          <w:rFonts w:ascii="Times New Roman" w:cs="Times New Roman" w:hAnsi="Times New Roman"/>
        </w:rPr>
      </w:pPr>
      <w:r>
        <w:rPr>
          <w:rFonts w:ascii="Times New Roman" w:cs="Times New Roman" w:hAnsi="Times New Roman"/>
        </w:rPr>
        <w:t>The following keywords and Medical Subject Headings (MeSH) terms were incorporated in the search strategy using the appropriate Boolean operators (AND/OR)</w:t>
      </w:r>
      <w:r>
        <w:rPr>
          <w:rFonts w:ascii="Times New Roman" w:cs="Times New Roman" w:hAnsi="Times New Roman"/>
        </w:rPr>
        <w:t xml:space="preserve">: “hepatocellular carcinoma”, “liver cancer”, “genetic biomarkers”, “molecular markers”, “long non-coding RNA”, “microRNA”, “telomere”, “telomerase”, “TERRA”, “TERT”, “TERC”, “TP53”, </w:t>
      </w:r>
      <w:r>
        <w:rPr>
          <w:rFonts w:ascii="Times New Roman" w:cs="Times New Roman" w:hAnsi="Times New Roman"/>
        </w:rPr>
        <w:t xml:space="preserve">“CTNNB1”, “cirrhosis”, and “liquid biopsy”. </w:t>
      </w:r>
      <w:r>
        <w:rPr>
          <w:rFonts w:ascii="Times New Roman" w:cs="Times New Roman" w:hAnsi="Times New Roman"/>
        </w:rPr>
        <w:t>Furthermore, the reference listings of all eligible studies and pertinent review articles were manually screened to identify any supplementary studies and guarantee comprehensive coverage of the available literature.</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Eligibility Criteria</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Inclusion Criteria</w:t>
      </w:r>
    </w:p>
    <w:p>
      <w:pPr>
        <w:pStyle w:val="style0"/>
        <w:bidi w:val="false"/>
        <w:spacing w:after="0" w:lineRule="auto" w:line="360"/>
        <w:jc w:val="both"/>
        <w:rPr>
          <w:rFonts w:ascii="Times New Roman" w:cs="Times New Roman" w:hAnsi="Times New Roman"/>
        </w:rPr>
      </w:pPr>
      <w:r>
        <w:rPr>
          <w:rFonts w:ascii="Times New Roman" w:cs="Times New Roman" w:hAnsi="Times New Roman"/>
        </w:rPr>
        <w:t>Studies were considered eligible if they:</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Included adult </w:t>
      </w:r>
      <w:r>
        <w:rPr>
          <w:rFonts w:ascii="Times New Roman" w:cs="Times New Roman" w:hAnsi="Times New Roman"/>
        </w:rPr>
        <w:t>cases</w:t>
      </w:r>
      <w:r>
        <w:rPr>
          <w:rFonts w:ascii="Times New Roman" w:cs="Times New Roman" w:hAnsi="Times New Roman"/>
        </w:rPr>
        <w:t xml:space="preserve"> diagnosed with chronic liver disease</w:t>
      </w:r>
      <w:r>
        <w:rPr>
          <w:rFonts w:ascii="Times New Roman" w:cs="Times New Roman" w:hAnsi="Times New Roman"/>
        </w:rPr>
        <w:t xml:space="preserve"> (CLD)</w:t>
      </w:r>
      <w:r>
        <w:rPr>
          <w:rFonts w:ascii="Times New Roman" w:cs="Times New Roman" w:hAnsi="Times New Roman"/>
        </w:rPr>
        <w:t xml:space="preserve">, predominantly liver cirrhosis with or without </w:t>
      </w:r>
      <w:r>
        <w:rPr>
          <w:rFonts w:ascii="Times New Roman" w:cs="Times New Roman" w:hAnsi="Times New Roman"/>
        </w:rPr>
        <w:t>HCC</w:t>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Assessed genetic or molecular biomarkers associated with </w:t>
      </w:r>
      <w:r>
        <w:rPr>
          <w:rFonts w:ascii="Times New Roman" w:cs="Times New Roman" w:hAnsi="Times New Roman"/>
        </w:rPr>
        <w:t>HCC</w:t>
      </w:r>
      <w:r>
        <w:rPr>
          <w:rFonts w:ascii="Times New Roman" w:cs="Times New Roman" w:hAnsi="Times New Roman"/>
        </w:rPr>
        <w:t xml:space="preserve">, including telomere-related molecules such as </w:t>
      </w:r>
      <w:r>
        <w:rPr>
          <w:rFonts w:ascii="Times New Roman" w:cs="Times New Roman" w:hAnsi="Times New Roman"/>
        </w:rPr>
        <w:t xml:space="preserve">TERRA </w:t>
      </w:r>
      <w:r>
        <w:rPr>
          <w:rFonts w:ascii="Times New Roman" w:cs="Times New Roman" w:hAnsi="Times New Roman"/>
        </w:rPr>
        <w:t>telomerase components (TERT and TERC), or other molecular markers involved in hepatocarcinogenesis.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Evaluated circulating or tissue-based biomarkers in relation to the presence of </w:t>
      </w:r>
      <w:r>
        <w:rPr>
          <w:rFonts w:ascii="Times New Roman" w:cs="Times New Roman" w:hAnsi="Times New Roman"/>
        </w:rPr>
        <w:t>HCC</w:t>
      </w:r>
      <w:r>
        <w:rPr>
          <w:rFonts w:ascii="Times New Roman" w:cs="Times New Roman" w:hAnsi="Times New Roman"/>
        </w:rPr>
        <w:t>, disease progression, or prognostic outcomes.</w:t>
      </w:r>
    </w:p>
    <w:p>
      <w:pPr>
        <w:pStyle w:val="style0"/>
        <w:bidi w:val="false"/>
        <w:spacing w:after="0" w:lineRule="auto" w:line="360"/>
        <w:jc w:val="both"/>
        <w:rPr>
          <w:rFonts w:ascii="Times New Roman" w:cs="Times New Roman" w:hAnsi="Times New Roman"/>
        </w:rPr>
      </w:pPr>
      <w:r>
        <w:rPr>
          <w:rFonts w:ascii="Times New Roman" w:cs="Times New Roman" w:hAnsi="Times New Roman"/>
        </w:rPr>
        <w:t>Implemented one of the following study designs: cross-sectional clinical studies, case–control studies, cohort studies, or randomised controlled trials</w:t>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Included a minimum sample size of five participants.</w:t>
      </w:r>
    </w:p>
    <w:p>
      <w:pPr>
        <w:pStyle w:val="style0"/>
        <w:bidi w:val="false"/>
        <w:spacing w:after="0" w:lineRule="auto" w:line="360"/>
        <w:jc w:val="both"/>
        <w:rPr>
          <w:rFonts w:ascii="Times New Roman" w:cs="Times New Roman" w:hAnsi="Times New Roman"/>
        </w:rPr>
      </w:pPr>
      <w:r>
        <w:rPr>
          <w:rFonts w:ascii="Times New Roman" w:cs="Times New Roman" w:hAnsi="Times New Roman"/>
        </w:rPr>
        <w:t>Were published in English between January 2010 and September 2025.</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Exclusion Criteria</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Studies were excluded if they:</w:t>
      </w:r>
    </w:p>
    <w:p>
      <w:pPr>
        <w:pStyle w:val="style0"/>
        <w:bidi w:val="false"/>
        <w:spacing w:after="0" w:lineRule="auto" w:line="360"/>
        <w:jc w:val="both"/>
        <w:rPr>
          <w:rFonts w:ascii="Times New Roman" w:cs="Times New Roman" w:hAnsi="Times New Roman"/>
        </w:rPr>
      </w:pPr>
      <w:r>
        <w:rPr>
          <w:rFonts w:ascii="Times New Roman" w:cs="Times New Roman" w:hAnsi="Times New Roman"/>
        </w:rPr>
        <w:t>Were case reports, conference abstracts, editorials, or letters to the editor.</w:t>
      </w:r>
    </w:p>
    <w:p>
      <w:pPr>
        <w:pStyle w:val="style0"/>
        <w:bidi w:val="false"/>
        <w:spacing w:after="0" w:lineRule="auto" w:line="360"/>
        <w:jc w:val="both"/>
        <w:rPr>
          <w:rFonts w:ascii="Times New Roman" w:cs="Times New Roman" w:hAnsi="Times New Roman"/>
        </w:rPr>
      </w:pPr>
      <w:r>
        <w:rPr>
          <w:rFonts w:ascii="Times New Roman" w:cs="Times New Roman" w:hAnsi="Times New Roman"/>
        </w:rPr>
        <w:t>Were animal or in vitro studies.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Lacked relevant outcome measures related to genetic or molecular biomarkers in </w:t>
      </w:r>
      <w:r>
        <w:rPr>
          <w:rFonts w:ascii="Times New Roman" w:cs="Times New Roman" w:hAnsi="Times New Roman"/>
        </w:rPr>
        <w:t>HCC</w:t>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Did not provide sufficient data for qualitative or quantitative synthesis.</w:t>
      </w:r>
    </w:p>
    <w:p>
      <w:pPr>
        <w:pStyle w:val="style0"/>
        <w:bidi w:val="false"/>
        <w:spacing w:after="0" w:lineRule="auto" w:line="360"/>
        <w:jc w:val="both"/>
        <w:rPr>
          <w:rFonts w:ascii="Times New Roman" w:cs="Times New Roman" w:hAnsi="Times New Roman"/>
        </w:rPr>
      </w:pPr>
      <w:r>
        <w:rPr>
          <w:rFonts w:ascii="Times New Roman" w:cs="Times New Roman" w:hAnsi="Times New Roman"/>
        </w:rPr>
        <w:t>Case reports and studies lacking quantitative outcome data were excluded from the meta-analytic synthesis but were considered in the narrative discussion when relevant.</w:t>
      </w:r>
    </w:p>
    <w:p>
      <w:pPr>
        <w:pStyle w:val="style0"/>
        <w:bidi w:val="false"/>
        <w:spacing w:after="0" w:lineRule="auto" w:line="360"/>
        <w:jc w:val="both"/>
        <w:rPr>
          <w:rFonts w:ascii="Times New Roman" w:cs="Times New Roman" w:hAnsi="Times New Roman"/>
        </w:rPr>
      </w:pPr>
      <w:r>
        <w:rPr>
          <w:rFonts w:ascii="Times New Roman" w:cs="Times New Roman" w:hAnsi="Times New Roman"/>
        </w:rPr>
        <w:t>Study Selection Process</w:t>
      </w:r>
    </w:p>
    <w:p>
      <w:pPr>
        <w:pStyle w:val="style0"/>
        <w:bidi w:val="false"/>
        <w:spacing w:after="0" w:lineRule="auto" w:line="360"/>
        <w:jc w:val="both"/>
        <w:rPr>
          <w:rFonts w:ascii="Times New Roman" w:cs="Times New Roman" w:hAnsi="Times New Roman"/>
        </w:rPr>
      </w:pPr>
      <w:r>
        <w:rPr>
          <w:rFonts w:ascii="Times New Roman" w:cs="Times New Roman" w:hAnsi="Times New Roman"/>
        </w:rPr>
        <w:t>EndNote X9 software was employed to import all retrieved citations, and duplicates were eliminated. Potentially eligible studies were identified through the screening of titles and abstracts by two independent reviewers. The eligibility of full-text articles from selected studies was subsequently evaluated in accordance with the predetermined inclusion and exclusion criteria</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If necessary, a third reviewer was consulted to reduce selection bias, and any disagreements between reviewers were resolved through discussion and consensus.</w:t>
      </w:r>
    </w:p>
    <w:p>
      <w:pPr>
        <w:pStyle w:val="style0"/>
        <w:bidi w:val="false"/>
        <w:spacing w:after="0" w:lineRule="auto" w:line="360"/>
        <w:jc w:val="both"/>
        <w:rPr>
          <w:rFonts w:ascii="Times New Roman" w:cs="Times New Roman" w:hAnsi="Times New Roman"/>
        </w:rPr>
      </w:pPr>
    </w:p>
    <w:p>
      <w:pPr>
        <w:pStyle w:val="style0"/>
        <w:bidi w:val="false"/>
        <w:spacing w:after="0" w:lineRule="auto" w:line="360"/>
        <w:jc w:val="both"/>
        <w:rPr>
          <w:rFonts w:ascii="Times New Roman" w:cs="Times New Roman" w:hAnsi="Times New Roman"/>
        </w:rPr>
      </w:pP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Data Extraction</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Data were independently extracted by two reviewers </w:t>
      </w:r>
      <w:r>
        <w:rPr>
          <w:rFonts w:ascii="Times New Roman" w:cs="Times New Roman" w:hAnsi="Times New Roman"/>
        </w:rPr>
        <w:t>by</w:t>
      </w:r>
      <w:r>
        <w:rPr>
          <w:rFonts w:ascii="Times New Roman" w:cs="Times New Roman" w:hAnsi="Times New Roman"/>
        </w:rPr>
        <w:t xml:space="preserve"> a standardized data extraction form. Extracted information included:</w:t>
      </w:r>
    </w:p>
    <w:p>
      <w:pPr>
        <w:pStyle w:val="style0"/>
        <w:bidi w:val="false"/>
        <w:spacing w:after="0" w:lineRule="auto" w:line="360"/>
        <w:jc w:val="both"/>
        <w:rPr>
          <w:rFonts w:ascii="Times New Roman" w:cs="Times New Roman" w:hAnsi="Times New Roman"/>
        </w:rPr>
      </w:pPr>
      <w:r>
        <w:rPr>
          <w:rFonts w:ascii="Times New Roman" w:cs="Times New Roman" w:hAnsi="Times New Roman"/>
        </w:rPr>
        <w:t>Author name and year of publication.</w:t>
      </w:r>
    </w:p>
    <w:p>
      <w:pPr>
        <w:pStyle w:val="style0"/>
        <w:bidi w:val="false"/>
        <w:spacing w:after="0" w:lineRule="auto" w:line="360"/>
        <w:jc w:val="both"/>
        <w:rPr>
          <w:rFonts w:ascii="Times New Roman" w:cs="Times New Roman" w:hAnsi="Times New Roman"/>
        </w:rPr>
      </w:pPr>
      <w:r>
        <w:rPr>
          <w:rFonts w:ascii="Times New Roman" w:cs="Times New Roman" w:hAnsi="Times New Roman"/>
        </w:rPr>
        <w:t>Study design and sample size.</w:t>
      </w:r>
    </w:p>
    <w:p>
      <w:pPr>
        <w:pStyle w:val="style0"/>
        <w:bidi w:val="false"/>
        <w:spacing w:after="0" w:lineRule="auto" w:line="360"/>
        <w:jc w:val="both"/>
        <w:rPr>
          <w:rFonts w:ascii="Times New Roman" w:cs="Times New Roman" w:hAnsi="Times New Roman"/>
        </w:rPr>
      </w:pPr>
      <w:r>
        <w:rPr>
          <w:rFonts w:ascii="Times New Roman" w:cs="Times New Roman" w:hAnsi="Times New Roman"/>
        </w:rPr>
        <w:t>Participant characteristics.</w:t>
      </w:r>
    </w:p>
    <w:p>
      <w:pPr>
        <w:pStyle w:val="style0"/>
        <w:bidi w:val="false"/>
        <w:spacing w:after="0" w:lineRule="auto" w:line="360"/>
        <w:jc w:val="both"/>
        <w:rPr>
          <w:rFonts w:ascii="Times New Roman" w:cs="Times New Roman" w:hAnsi="Times New Roman"/>
        </w:rPr>
      </w:pPr>
      <w:r>
        <w:rPr>
          <w:rFonts w:ascii="Times New Roman" w:cs="Times New Roman" w:hAnsi="Times New Roman"/>
        </w:rPr>
        <w:t>Evaluated molecular or genetic biomarkers, including telomere-associated molecules such as TERRA, TERT, and TERC, as well as other reported genetic markers in HCC.</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Clinicopathological features and disease severity parameters, including presence and stage of </w:t>
      </w:r>
      <w:r>
        <w:rPr>
          <w:rFonts w:ascii="Times New Roman" w:cs="Times New Roman" w:hAnsi="Times New Roman"/>
        </w:rPr>
        <w:t>HCC</w:t>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Diagnostic or prognostic outcomes related to molecular biomarker expression.</w:t>
      </w:r>
    </w:p>
    <w:p>
      <w:pPr>
        <w:pStyle w:val="style0"/>
        <w:bidi w:val="false"/>
        <w:spacing w:after="0" w:lineRule="auto" w:line="360"/>
        <w:jc w:val="both"/>
        <w:rPr>
          <w:rFonts w:ascii="Times New Roman" w:cs="Times New Roman" w:hAnsi="Times New Roman"/>
        </w:rPr>
      </w:pPr>
      <w:r>
        <w:rPr>
          <w:rFonts w:ascii="Times New Roman" w:cs="Times New Roman" w:hAnsi="Times New Roman"/>
        </w:rPr>
        <w:t>Key findings and conclusions.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Quality </w:t>
      </w:r>
      <w:r>
        <w:rPr>
          <w:rFonts w:ascii="Times New Roman" w:cs="Times New Roman" w:hAnsi="Times New Roman"/>
        </w:rPr>
        <w:t>Evaluation</w:t>
      </w:r>
      <w:r>
        <w:rPr>
          <w:rFonts w:ascii="Times New Roman" w:cs="Times New Roman" w:hAnsi="Times New Roman"/>
        </w:rPr>
        <w:t xml:space="preserve"> and Risk of Bias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The methodological quality of the included studies was </w:t>
      </w:r>
      <w:r>
        <w:rPr>
          <w:rFonts w:ascii="Times New Roman" w:cs="Times New Roman" w:hAnsi="Times New Roman"/>
        </w:rPr>
        <w:t>assessed by</w:t>
      </w:r>
      <w:r>
        <w:rPr>
          <w:rFonts w:ascii="Times New Roman" w:cs="Times New Roman" w:hAnsi="Times New Roman"/>
        </w:rPr>
        <w:t xml:space="preserve"> the appropriate instruments in accordance with the study design. </w:t>
      </w:r>
      <w:r>
        <w:rPr>
          <w:rFonts w:ascii="Times New Roman" w:cs="Times New Roman" w:hAnsi="Times New Roman"/>
        </w:rPr>
        <w:t>Randomised controlled trials were assessed using the Cochrane Risk of Bias instrument, while observational studies were assessed using the Newcastle–Ottawa Scale.</w:t>
      </w:r>
    </w:p>
    <w:p>
      <w:pPr>
        <w:pStyle w:val="style0"/>
        <w:bidi w:val="false"/>
        <w:spacing w:after="0" w:lineRule="auto" w:line="360"/>
        <w:jc w:val="both"/>
        <w:rPr>
          <w:rFonts w:ascii="Times New Roman" w:cs="Times New Roman" w:hAnsi="Times New Roman"/>
        </w:rPr>
      </w:pPr>
      <w:r>
        <w:rPr>
          <w:rFonts w:ascii="Times New Roman" w:cs="Times New Roman" w:hAnsi="Times New Roman"/>
        </w:rPr>
        <w:t>Discussion and consensus were employed to resolve any discrepancies in quality assessment.</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Study Selection Results</w:t>
      </w:r>
    </w:p>
    <w:p>
      <w:pPr>
        <w:pStyle w:val="style0"/>
        <w:bidi w:val="false"/>
        <w:spacing w:after="0" w:lineRule="auto" w:line="360"/>
        <w:jc w:val="both"/>
        <w:rPr>
          <w:rFonts w:ascii="Times New Roman" w:cs="Times New Roman" w:hAnsi="Times New Roman"/>
        </w:rPr>
      </w:pPr>
      <w:r>
        <w:rPr>
          <w:rFonts w:ascii="Times New Roman" w:cs="Times New Roman" w:hAnsi="Times New Roman"/>
        </w:rPr>
        <w:t>The database search identified thirty-two records. After removing five duplicates, twenty-seven records underwent title and abstract screening. Eighteen studies were excluded due to irrelevant outcomes, review articles, experimental or animal models, or non-</w:t>
      </w:r>
      <w:r>
        <w:rPr>
          <w:rFonts w:ascii="Times New Roman" w:cs="Times New Roman" w:hAnsi="Times New Roman"/>
        </w:rPr>
        <w:t xml:space="preserve"> </w:t>
      </w:r>
      <w:r>
        <w:rPr>
          <w:rFonts w:ascii="Times New Roman" w:cs="Times New Roman" w:hAnsi="Times New Roman"/>
        </w:rPr>
        <w:t xml:space="preserve">HCC </w:t>
      </w:r>
      <w:r>
        <w:rPr>
          <w:rFonts w:ascii="Times New Roman" w:cs="Times New Roman" w:hAnsi="Times New Roman"/>
        </w:rPr>
        <w:t xml:space="preserve">populations. </w:t>
      </w:r>
      <w:r>
        <w:rPr>
          <w:rFonts w:ascii="Times New Roman" w:cs="Times New Roman" w:hAnsi="Times New Roman"/>
        </w:rPr>
        <w:t xml:space="preserve">Two of the nine full-text articles that were </w:t>
      </w:r>
      <w:r>
        <w:rPr>
          <w:rFonts w:ascii="Times New Roman" w:cs="Times New Roman" w:hAnsi="Times New Roman"/>
        </w:rPr>
        <w:t>evaluated</w:t>
      </w:r>
      <w:r>
        <w:rPr>
          <w:rFonts w:ascii="Times New Roman" w:cs="Times New Roman" w:hAnsi="Times New Roman"/>
        </w:rPr>
        <w:t xml:space="preserve"> for eligibility were </w:t>
      </w:r>
      <w:r>
        <w:rPr>
          <w:rFonts w:ascii="Times New Roman" w:cs="Times New Roman" w:hAnsi="Times New Roman"/>
        </w:rPr>
        <w:t>removed</w:t>
      </w:r>
      <w:r>
        <w:rPr>
          <w:rFonts w:ascii="Times New Roman" w:cs="Times New Roman" w:hAnsi="Times New Roman"/>
        </w:rPr>
        <w:t xml:space="preserve"> as a result of the absence of clinically relevant diagnostic or prognostic data or the failure to evaluate pertinent molecular biomarkers in HCC. In the end, the qualitative synthesis comprised seven investigations</w:t>
      </w:r>
      <w:r>
        <w:rPr>
          <w:rFonts w:ascii="Times New Roman" w:cs="Times New Roman" w:hAnsi="Times New Roman"/>
        </w:rPr>
        <w:t xml:space="preserve"> </w:t>
      </w:r>
      <w:r>
        <w:rPr>
          <w:rFonts w:ascii="Times New Roman" w:cs="Times New Roman" w:hAnsi="Times New Roman"/>
        </w:rPr>
        <w:t xml:space="preserve">(Table 1) </w:t>
      </w:r>
      <w:r>
        <w:rPr>
          <w:rFonts w:ascii="Times New Roman" w:cs="Times New Roman" w:hAnsi="Times New Roman"/>
        </w:rPr>
        <w:t>(Figure 1).</w:t>
      </w:r>
    </w:p>
    <w:p>
      <w:pPr>
        <w:pStyle w:val="style0"/>
        <w:bidi w:val="false"/>
        <w:spacing w:after="0" w:lineRule="auto" w:line="360"/>
        <w:jc w:val="both"/>
        <w:rPr>
          <w:rFonts w:ascii="Times New Roman" w:cs="Times New Roman" w:hAnsi="Times New Roman"/>
        </w:rPr>
      </w:pPr>
    </w:p>
    <w:p>
      <w:pPr>
        <w:pStyle w:val="style0"/>
        <w:bidi w:val="false"/>
        <w:spacing w:after="0" w:lineRule="auto" w:line="360"/>
        <w:jc w:val="both"/>
        <w:rPr>
          <w:rFonts w:ascii="Times New Roman" w:cs="Times New Roman" w:hAnsi="Times New Roman"/>
        </w:rPr>
        <w:sectPr>
          <w:pgSz w:w="11906" w:h="16838" w:orient="portrait"/>
          <w:pgMar w:top="1440" w:right="1440" w:bottom="1440" w:left="1440" w:header="720" w:footer="720" w:gutter="0"/>
          <w:cols w:space="720"/>
          <w:docGrid w:linePitch="360"/>
        </w:sectPr>
      </w:pPr>
    </w:p>
    <w:p>
      <w:pPr>
        <w:pStyle w:val="style0"/>
        <w:bidi w:val="false"/>
        <w:spacing w:after="0" w:lineRule="auto" w:line="360"/>
        <w:jc w:val="both"/>
        <w:rPr>
          <w:rFonts w:ascii="Times New Roman" w:cs="Times New Roman" w:hAnsi="Times New Roman"/>
          <w:rtl/>
        </w:rPr>
      </w:pPr>
      <w:r>
        <w:rPr>
          <w:rFonts w:ascii="Times New Roman" w:cs="Times New Roman" w:hAnsi="Times New Roman"/>
          <w:b/>
          <w:bCs/>
        </w:rPr>
        <w:t>Table 1.</w:t>
      </w:r>
      <w:r>
        <w:rPr>
          <w:rFonts w:ascii="Times New Roman" w:cs="Times New Roman" w:hAnsi="Times New Roman"/>
        </w:rPr>
        <w:t xml:space="preserve"> Published studies evaluating molecular and genetic biomarkers associated with </w:t>
      </w:r>
      <w:r>
        <w:rPr>
          <w:rFonts w:ascii="Times New Roman" w:cs="Times New Roman" w:hAnsi="Times New Roman"/>
        </w:rPr>
        <w:t>HCC</w:t>
      </w:r>
    </w:p>
    <w:tbl>
      <w:tblPr>
        <w:tblStyle w:val="style154"/>
        <w:tblW w:w="0" w:type="auto"/>
        <w:tblLook w:val="04A0" w:firstRow="1" w:lastRow="0" w:firstColumn="1" w:lastColumn="0" w:noHBand="0" w:noVBand="1"/>
      </w:tblPr>
      <w:tblGrid>
        <w:gridCol w:w="5211"/>
        <w:gridCol w:w="664"/>
        <w:gridCol w:w="2240"/>
        <w:gridCol w:w="910"/>
      </w:tblGrid>
      <w:tr>
        <w:trPr/>
        <w:tc>
          <w:tcPr>
            <w:tcW w:w="0" w:type="auto"/>
            <w:tcBorders/>
            <w:vAlign w:val="center"/>
          </w:tcPr>
          <w:p>
            <w:pPr>
              <w:pStyle w:val="style0"/>
              <w:bidi w:val="false"/>
              <w:spacing w:after="0" w:lineRule="auto" w:line="360"/>
              <w:jc w:val="center"/>
              <w:rPr>
                <w:rFonts w:ascii="Times New Roman" w:cs="Times New Roman" w:hAnsi="Times New Roman"/>
                <w:b/>
                <w:bCs/>
                <w:sz w:val="20"/>
                <w:szCs w:val="20"/>
              </w:rPr>
            </w:pPr>
            <w:r>
              <w:rPr>
                <w:rFonts w:ascii="Times New Roman" w:cs="Times New Roman" w:hAnsi="Times New Roman"/>
                <w:b/>
                <w:bCs/>
                <w:sz w:val="20"/>
                <w:szCs w:val="20"/>
              </w:rPr>
              <w:t>Title</w:t>
            </w:r>
          </w:p>
        </w:tc>
        <w:tc>
          <w:tcPr>
            <w:tcW w:w="0" w:type="auto"/>
            <w:tcBorders/>
            <w:vAlign w:val="center"/>
          </w:tcPr>
          <w:p>
            <w:pPr>
              <w:pStyle w:val="style0"/>
              <w:bidi w:val="false"/>
              <w:spacing w:after="0" w:lineRule="auto" w:line="360"/>
              <w:jc w:val="center"/>
              <w:rPr>
                <w:rFonts w:ascii="Times New Roman" w:cs="Times New Roman" w:hAnsi="Times New Roman"/>
                <w:b/>
                <w:bCs/>
                <w:sz w:val="20"/>
                <w:szCs w:val="20"/>
              </w:rPr>
            </w:pPr>
            <w:r>
              <w:rPr>
                <w:rFonts w:ascii="Times New Roman" w:cs="Times New Roman" w:hAnsi="Times New Roman"/>
                <w:b/>
                <w:bCs/>
                <w:sz w:val="20"/>
                <w:szCs w:val="20"/>
              </w:rPr>
              <w:t>Year</w:t>
            </w:r>
          </w:p>
        </w:tc>
        <w:tc>
          <w:tcPr>
            <w:tcW w:w="0" w:type="auto"/>
            <w:tcBorders/>
            <w:vAlign w:val="center"/>
          </w:tcPr>
          <w:p>
            <w:pPr>
              <w:pStyle w:val="style0"/>
              <w:bidi w:val="false"/>
              <w:spacing w:after="0" w:lineRule="auto" w:line="360"/>
              <w:jc w:val="center"/>
              <w:rPr>
                <w:rFonts w:ascii="Times New Roman" w:cs="Times New Roman" w:hAnsi="Times New Roman"/>
                <w:b/>
                <w:bCs/>
                <w:sz w:val="20"/>
                <w:szCs w:val="20"/>
              </w:rPr>
            </w:pPr>
            <w:r>
              <w:rPr>
                <w:rFonts w:ascii="Times New Roman" w:cs="Times New Roman" w:hAnsi="Times New Roman"/>
                <w:b/>
                <w:bCs/>
                <w:sz w:val="20"/>
                <w:szCs w:val="20"/>
              </w:rPr>
              <w:t>Journal</w:t>
            </w:r>
          </w:p>
        </w:tc>
        <w:tc>
          <w:tcPr>
            <w:tcW w:w="0" w:type="auto"/>
            <w:tcBorders/>
            <w:vAlign w:val="center"/>
          </w:tcPr>
          <w:p>
            <w:pPr>
              <w:pStyle w:val="style0"/>
              <w:bidi w:val="false"/>
              <w:spacing w:after="0" w:lineRule="auto" w:line="360"/>
              <w:jc w:val="center"/>
              <w:rPr>
                <w:rFonts w:ascii="Times New Roman" w:cs="Times New Roman" w:hAnsi="Times New Roman"/>
                <w:b/>
                <w:bCs/>
                <w:sz w:val="20"/>
                <w:szCs w:val="20"/>
              </w:rPr>
            </w:pPr>
            <w:r>
              <w:rPr>
                <w:rFonts w:ascii="Times New Roman" w:cs="Times New Roman" w:hAnsi="Times New Roman"/>
                <w:b/>
                <w:bCs/>
                <w:sz w:val="20"/>
                <w:szCs w:val="20"/>
              </w:rPr>
              <w:t>Volume</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Noncoding telomeric repeat-containing RNA inhibits the progression of hepatocellular carcinoma </w:t>
            </w:r>
            <w:r>
              <w:rPr>
                <w:rFonts w:ascii="Times New Roman" w:cs="Times New Roman" w:hAnsi="Times New Roman"/>
                <w:b/>
                <w:bCs/>
                <w:sz w:val="20"/>
                <w:szCs w:val="20"/>
              </w:rPr>
              <w:t>(Cao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2020</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Cancer Science</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111</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Expression of cellular and extracellular TERRA, TERC and TERT in hepatocellular carcinoma </w:t>
            </w:r>
            <w:r>
              <w:rPr>
                <w:rFonts w:ascii="Times New Roman" w:cs="Times New Roman" w:hAnsi="Times New Roman"/>
                <w:b/>
                <w:bCs/>
                <w:sz w:val="20"/>
                <w:szCs w:val="20"/>
              </w:rPr>
              <w:t>(Manganelli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2022</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International Journal of Molecular Sciences</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23</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Telomeric repeat-containing RNA (TERRA): physiological functions and relevance in cancer </w:t>
            </w:r>
            <w:r>
              <w:rPr>
                <w:rFonts w:ascii="Times New Roman" w:cs="Times New Roman" w:hAnsi="Times New Roman"/>
                <w:b/>
                <w:bCs/>
                <w:sz w:val="20"/>
                <w:szCs w:val="20"/>
              </w:rPr>
              <w:t>(Kroupa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2022</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Frontiers in Oncology</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12</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Frequency of somatic mutations in TERT promoter, TP53 and CTNNB1 genes in hepatocellular carcinoma </w:t>
            </w:r>
            <w:r>
              <w:rPr>
                <w:rFonts w:ascii="Times New Roman" w:cs="Times New Roman" w:hAnsi="Times New Roman"/>
                <w:b/>
                <w:bCs/>
                <w:sz w:val="20"/>
                <w:szCs w:val="20"/>
              </w:rPr>
              <w:t>(Lombardo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2020</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Oncology Letters</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19</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MicroRNA-122 as a diagnostic biomarker for hepatocellular carcinoma: A meta-analysis </w:t>
            </w:r>
            <w:r>
              <w:rPr>
                <w:rFonts w:ascii="Times New Roman" w:cs="Times New Roman" w:hAnsi="Times New Roman"/>
                <w:b/>
                <w:bCs/>
                <w:sz w:val="20"/>
                <w:szCs w:val="20"/>
              </w:rPr>
              <w:t>(Wei</w:t>
            </w:r>
            <w:r>
              <w:rPr>
                <w:rFonts w:ascii="Times New Roman" w:cs="Times New Roman" w:hAnsi="Times New Roman"/>
                <w:sz w:val="20"/>
                <w:szCs w:val="20"/>
              </w:rPr>
              <w:t xml:space="preserve"> </w:t>
            </w:r>
            <w:r>
              <w:rPr>
                <w:rFonts w:ascii="Times New Roman" w:cs="Times New Roman" w:hAnsi="Times New Roman"/>
                <w:b/>
                <w:bCs/>
                <w:sz w:val="20"/>
                <w:szCs w:val="20"/>
              </w:rPr>
              <w:t>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2020</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Journal of International Medical Research</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48</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Early diagnostic evaluation of miR-122 and miR-224 as biomarkers for hepatocellular carcinoma </w:t>
            </w:r>
            <w:r>
              <w:rPr>
                <w:rFonts w:ascii="Times New Roman" w:cs="Times New Roman" w:hAnsi="Times New Roman"/>
                <w:b/>
                <w:bCs/>
                <w:sz w:val="20"/>
                <w:szCs w:val="20"/>
              </w:rPr>
              <w:t>(Amr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2017</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Genes &amp; Diseases</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4</w:t>
            </w:r>
          </w:p>
        </w:tc>
      </w:tr>
      <w:tr>
        <w:tblPrEx/>
        <w:trPr/>
        <w:tc>
          <w:tcPr>
            <w:tcW w:w="0" w:type="auto"/>
            <w:tcBorders/>
          </w:tcPr>
          <w:p>
            <w:pPr>
              <w:pStyle w:val="style0"/>
              <w:bidi w:val="false"/>
              <w:spacing w:after="0" w:lineRule="auto" w:line="360"/>
              <w:jc w:val="both"/>
              <w:rPr>
                <w:rFonts w:ascii="Times New Roman" w:cs="Times New Roman" w:hAnsi="Times New Roman"/>
                <w:sz w:val="20"/>
                <w:szCs w:val="20"/>
              </w:rPr>
            </w:pPr>
            <w:r>
              <w:rPr>
                <w:rFonts w:ascii="Times New Roman" w:cs="Times New Roman" w:hAnsi="Times New Roman"/>
                <w:sz w:val="20"/>
                <w:szCs w:val="20"/>
              </w:rPr>
              <w:t xml:space="preserve">Circulating microRNA-21, microRNA-122 and microRNA-222 as diagnostic biomarkers for HCV-related hepatocellular carcinoma </w:t>
            </w:r>
            <w:r>
              <w:rPr>
                <w:rFonts w:ascii="Times New Roman" w:cs="Times New Roman" w:hAnsi="Times New Roman"/>
                <w:b/>
                <w:bCs/>
                <w:sz w:val="20"/>
                <w:szCs w:val="20"/>
              </w:rPr>
              <w:t>(Hetta et 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2024</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Egyptian Liver Journal</w:t>
            </w:r>
          </w:p>
        </w:tc>
        <w:tc>
          <w:tcPr>
            <w:tcW w:w="0" w:type="auto"/>
            <w:tcBorders/>
            <w:vAlign w:val="center"/>
          </w:tcPr>
          <w:p>
            <w:pPr>
              <w:pStyle w:val="style0"/>
              <w:bidi w:val="false"/>
              <w:spacing w:after="0" w:lineRule="auto" w:line="360"/>
              <w:jc w:val="center"/>
              <w:rPr>
                <w:rFonts w:ascii="Times New Roman" w:cs="Times New Roman" w:hAnsi="Times New Roman"/>
                <w:sz w:val="20"/>
                <w:szCs w:val="20"/>
              </w:rPr>
            </w:pPr>
            <w:r>
              <w:rPr>
                <w:rFonts w:ascii="Times New Roman" w:cs="Times New Roman" w:hAnsi="Times New Roman"/>
                <w:sz w:val="20"/>
                <w:szCs w:val="20"/>
              </w:rPr>
              <w:t>14</w:t>
            </w:r>
          </w:p>
        </w:tc>
      </w:tr>
    </w:tbl>
    <w:p>
      <w:pPr>
        <w:pStyle w:val="style0"/>
        <w:bidi w:val="false"/>
        <w:spacing w:after="0" w:lineRule="auto" w:line="240"/>
        <w:rPr>
          <w:rFonts w:ascii="Times New Roman" w:cs="Times New Roman" w:eastAsia="Times New Roman" w:hAnsi="Times New Roman"/>
          <w:b/>
          <w:bCs/>
          <w:sz w:val="18"/>
          <w:szCs w:val="18"/>
          <w:rtl/>
        </w:rPr>
      </w:pPr>
      <w:r>
        <w:rPr>
          <w:rFonts w:ascii="Times New Roman" w:cs="Times New Roman" w:eastAsia="Times New Roman" w:hAnsi="Times New Roman"/>
          <w:b/>
          <w:bCs/>
          <w:sz w:val="18"/>
          <w:szCs w:val="18"/>
        </w:rPr>
        <w:t>HCC: hepatocellular carcinoma; TERRA: telomeric repeat-containing RNA; TERC: telomerase RNA component; TERT: telomerase reverse transcriptase; TP53: tumour protein p53; CTNNB1: catenin beta 1; miR/microRNA: microRNA; HCV: hepatitis C virus</w:t>
      </w:r>
      <w:r>
        <w:rPr>
          <w:rFonts w:ascii="Times New Roman" w:cs="Times New Roman" w:eastAsia="Times New Roman" w:hAnsi="Times New Roman" w:hint="cs"/>
          <w:b/>
          <w:bCs/>
          <w:sz w:val="18"/>
          <w:szCs w:val="18"/>
          <w:rtl/>
        </w:rPr>
        <w:t>.</w:t>
      </w:r>
    </w:p>
    <w:p>
      <w:pPr>
        <w:pStyle w:val="style0"/>
        <w:bidi w:val="false"/>
        <w:spacing w:after="0" w:lineRule="auto" w:line="240"/>
        <w:rPr>
          <w:rFonts w:ascii="Times New Roman" w:cs="Times New Roman" w:eastAsia="Times New Roman" w:hAnsi="Times New Roman"/>
          <w:b/>
          <w:bCs/>
          <w:sz w:val="18"/>
          <w:szCs w:val="18"/>
        </w:rPr>
      </w:pPr>
      <w:r>
        <w:rPr>
          <w:rFonts w:ascii="Times New Roman" w:cs="Times New Roman" w:eastAsia="Times New Roman" w:hAnsi="Times New Roman"/>
          <w:b/>
          <w:bCs/>
          <w:sz w:val="18"/>
          <w:szCs w:val="18"/>
        </w:rPr>
        <w:br w:type="page"/>
      </w:r>
    </w:p>
    <w:p>
      <w:pPr>
        <w:pStyle w:val="style0"/>
        <w:bidi w:val="false"/>
        <w:spacing w:after="0" w:lineRule="auto" w:line="240"/>
        <w:rPr>
          <w:rFonts w:ascii="Times New Roman" w:cs="Times New Roman" w:eastAsia="Times New Roman" w:hAnsi="Times New Roman"/>
          <w:b/>
          <w:bCs/>
          <w:sz w:val="18"/>
          <w:szCs w:val="18"/>
        </w:rPr>
      </w:pPr>
      <w:r>
        <w:rPr>
          <w:rFonts w:ascii="Times New Roman" w:cs="Times New Roman" w:hAnsi="Times New Roman"/>
          <w:b/>
          <w:bCs/>
        </w:rPr>
        <w:t>Table</w:t>
      </w:r>
      <w:r>
        <w:rPr>
          <w:rFonts w:ascii="Times New Roman" w:cs="Times New Roman" w:hAnsi="Times New Roman"/>
          <w:b/>
          <w:bCs/>
        </w:rPr>
        <w:t>2</w:t>
      </w:r>
      <w:r>
        <w:rPr>
          <w:rFonts w:ascii="Times New Roman" w:cs="Times New Roman" w:hAnsi="Times New Roman"/>
          <w:b/>
          <w:bCs/>
        </w:rPr>
        <w:t>.</w:t>
      </w:r>
      <w:r>
        <w:rPr>
          <w:rFonts w:ascii="Times New Roman" w:cs="Times New Roman" w:hAnsi="Times New Roman"/>
        </w:rPr>
        <w:t xml:space="preserve"> </w:t>
      </w:r>
      <w:r>
        <w:rPr>
          <w:rFonts w:ascii="Times New Roman" w:cs="Times New Roman" w:hAnsi="Times New Roman"/>
        </w:rPr>
        <w:t>Results of some p</w:t>
      </w:r>
      <w:r>
        <w:rPr>
          <w:rFonts w:ascii="Times New Roman" w:cs="Times New Roman" w:hAnsi="Times New Roman"/>
        </w:rPr>
        <w:t xml:space="preserve">ublished studies evaluating </w:t>
      </w:r>
      <w:r>
        <w:rPr>
          <w:rFonts w:ascii="Times New Roman" w:cs="Times New Roman" w:hAnsi="Times New Roman"/>
        </w:rPr>
        <w:t>different</w:t>
      </w:r>
      <w:r>
        <w:rPr>
          <w:rFonts w:ascii="Times New Roman" w:cs="Times New Roman" w:hAnsi="Times New Roman"/>
        </w:rPr>
        <w:t xml:space="preserve"> genetic biomarkers associated with HCC</w:t>
      </w:r>
    </w:p>
    <w:tbl>
      <w:tblPr>
        <w:tblStyle w:val="style154"/>
        <w:tblpPr w:leftFromText="180" w:rightFromText="180" w:topFromText="0" w:bottomFromText="0" w:vertAnchor="page" w:horzAnchor="margin" w:tblpXSpec="center" w:tblpY="2351"/>
        <w:tblW w:w="0" w:type="auto"/>
        <w:tblLook w:val="04A0" w:firstRow="1" w:lastRow="0" w:firstColumn="1" w:lastColumn="0" w:noHBand="0" w:noVBand="1"/>
      </w:tblPr>
      <w:tblGrid>
        <w:gridCol w:w="1838"/>
        <w:gridCol w:w="6458"/>
      </w:tblGrid>
      <w:tr>
        <w:trPr/>
        <w:tc>
          <w:tcPr>
            <w:tcW w:w="1838" w:type="dxa"/>
            <w:tcBorders/>
            <w:vAlign w:val="center"/>
          </w:tcPr>
          <w:p>
            <w:pPr>
              <w:pStyle w:val="style0"/>
              <w:bidi w:val="false"/>
              <w:spacing w:lineRule="auto" w:line="360"/>
              <w:jc w:val="center"/>
              <w:rPr>
                <w:rFonts w:ascii="Times New Roman" w:cs="Times New Roman" w:hAnsi="Times New Roman"/>
                <w:b/>
                <w:bCs/>
                <w:sz w:val="20"/>
                <w:szCs w:val="20"/>
              </w:rPr>
            </w:pPr>
            <w:r>
              <w:rPr>
                <w:rFonts w:ascii="Times New Roman" w:cs="Times New Roman" w:hAnsi="Times New Roman"/>
                <w:b/>
                <w:bCs/>
                <w:sz w:val="20"/>
                <w:szCs w:val="20"/>
              </w:rPr>
              <w:t>The study</w:t>
            </w:r>
          </w:p>
        </w:tc>
        <w:tc>
          <w:tcPr>
            <w:tcW w:w="6458" w:type="dxa"/>
            <w:tcBorders/>
            <w:vAlign w:val="center"/>
          </w:tcPr>
          <w:p>
            <w:pPr>
              <w:pStyle w:val="style0"/>
              <w:bidi w:val="false"/>
              <w:spacing w:lineRule="auto" w:line="360"/>
              <w:jc w:val="center"/>
              <w:rPr>
                <w:rFonts w:ascii="Times New Roman" w:cs="Times New Roman" w:hAnsi="Times New Roman"/>
                <w:b/>
                <w:bCs/>
                <w:sz w:val="20"/>
                <w:szCs w:val="20"/>
              </w:rPr>
            </w:pPr>
            <w:r>
              <w:rPr>
                <w:rFonts w:ascii="Times New Roman" w:cs="Times New Roman" w:hAnsi="Times New Roman"/>
                <w:b/>
                <w:bCs/>
                <w:sz w:val="20"/>
                <w:szCs w:val="20"/>
              </w:rPr>
              <w:t>Results</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rPr>
              <w:t xml:space="preserve">Amr </w:t>
            </w:r>
            <w:r>
              <w:rPr>
                <w:rFonts w:ascii="Times New Roman" w:cs="Times New Roman" w:hAnsi="Times New Roman"/>
                <w:b/>
                <w:bCs/>
                <w:sz w:val="20"/>
                <w:szCs w:val="20"/>
              </w:rPr>
              <w:t>et al.,</w:t>
            </w:r>
            <w:r>
              <w:rPr>
                <w:rFonts w:ascii="Times New Roman" w:cs="Times New Roman" w:hAnsi="Times New Roman"/>
                <w:b/>
                <w:bCs/>
                <w:sz w:val="20"/>
                <w:szCs w:val="20"/>
              </w:rPr>
              <w:t xml:space="preserve"> (2017)</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This study revealed that the mean plasma values of miRNA-122 were significantly lower among HCC group when compared to CHC and control groups (P &lt; 0.001).</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lang w:bidi="ar-EG"/>
              </w:rPr>
              <w:t xml:space="preserve">Cao et al., </w:t>
            </w:r>
            <w:r>
              <w:rPr>
                <w:rFonts w:ascii="Times New Roman" w:cs="Times New Roman" w:hAnsi="Times New Roman"/>
                <w:b/>
                <w:bCs/>
                <w:sz w:val="20"/>
                <w:szCs w:val="20"/>
                <w:lang w:bidi="ar-EG"/>
              </w:rPr>
              <w:t>(2020)</w:t>
            </w:r>
            <w:r>
              <w:rPr>
                <w:rFonts w:ascii="Times New Roman" w:cs="Times New Roman" w:hAnsi="Times New Roman"/>
                <w:b/>
                <w:bCs/>
                <w:sz w:val="20"/>
                <w:szCs w:val="20"/>
                <w:lang w:bidi="ar-EG"/>
              </w:rPr>
              <w:t xml:space="preserve">  </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 xml:space="preserve">This study </w:t>
            </w:r>
            <w:r>
              <w:rPr>
                <w:rFonts w:ascii="Times New Roman" w:cs="Times New Roman" w:hAnsi="Times New Roman"/>
                <w:sz w:val="20"/>
                <w:szCs w:val="20"/>
              </w:rPr>
              <w:t xml:space="preserve">found that TERRA, TRF1, and TRF2 contributed to poor prognosis of HCC patients. Importantly, </w:t>
            </w:r>
            <w:r>
              <w:rPr>
                <w:rFonts w:ascii="Times New Roman" w:cs="Times New Roman" w:hAnsi="Times New Roman"/>
                <w:sz w:val="20"/>
                <w:szCs w:val="20"/>
              </w:rPr>
              <w:t>they</w:t>
            </w:r>
            <w:r>
              <w:rPr>
                <w:rFonts w:ascii="Times New Roman" w:cs="Times New Roman" w:hAnsi="Times New Roman"/>
                <w:sz w:val="20"/>
                <w:szCs w:val="20"/>
              </w:rPr>
              <w:t xml:space="preserve"> found that the downregulation of TERRA significantly promoted HCC cell growth and metastasis in vitro and in vivo, whereas the upregulation of TERRA showed an opposite effect. </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sz w:val="20"/>
                <w:szCs w:val="20"/>
              </w:rPr>
              <w:t xml:space="preserve"> </w:t>
            </w:r>
            <w:r>
              <w:rPr>
                <w:rFonts w:ascii="Times New Roman" w:cs="Times New Roman" w:hAnsi="Times New Roman"/>
                <w:b/>
                <w:bCs/>
                <w:sz w:val="20"/>
                <w:szCs w:val="20"/>
              </w:rPr>
              <w:t>Hetta et al.</w:t>
            </w:r>
            <w:r>
              <w:rPr>
                <w:rFonts w:ascii="Times New Roman" w:cs="Times New Roman" w:hAnsi="Times New Roman"/>
                <w:b/>
                <w:bCs/>
                <w:sz w:val="20"/>
                <w:szCs w:val="20"/>
              </w:rPr>
              <w:t xml:space="preserve">, </w:t>
            </w:r>
            <w:r>
              <w:rPr>
                <w:rFonts w:ascii="Times New Roman" w:cs="Times New Roman" w:hAnsi="Times New Roman"/>
                <w:b/>
                <w:bCs/>
                <w:sz w:val="20"/>
                <w:szCs w:val="20"/>
              </w:rPr>
              <w:t>(</w:t>
            </w:r>
            <w:r>
              <w:rPr>
                <w:rFonts w:ascii="Times New Roman" w:cs="Times New Roman" w:hAnsi="Times New Roman"/>
                <w:b/>
                <w:bCs/>
                <w:sz w:val="20"/>
                <w:szCs w:val="20"/>
              </w:rPr>
              <w:t>2024</w:t>
            </w:r>
            <w:r>
              <w:rPr>
                <w:rFonts w:ascii="Times New Roman" w:cs="Times New Roman" w:hAnsi="Times New Roman"/>
                <w:b/>
                <w:bCs/>
                <w:sz w:val="20"/>
                <w:szCs w:val="20"/>
              </w:rPr>
              <w:t>)</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 xml:space="preserve">  Serum levels of miR</w:t>
            </w:r>
            <w:r>
              <w:rPr>
                <w:rFonts w:ascii="Times New Roman" w:cs="Times New Roman" w:hAnsi="Times New Roman"/>
                <w:sz w:val="20"/>
                <w:szCs w:val="20"/>
              </w:rPr>
              <w:t>NA</w:t>
            </w:r>
            <w:r>
              <w:rPr>
                <w:rFonts w:ascii="MS Mincho" w:cs="MS Mincho" w:hAnsi="MS Mincho"/>
                <w:sz w:val="20"/>
                <w:szCs w:val="20"/>
              </w:rPr>
              <w:t>‑</w:t>
            </w:r>
            <w:r>
              <w:rPr>
                <w:rFonts w:ascii="Times New Roman" w:cs="Times New Roman" w:hAnsi="Times New Roman"/>
                <w:sz w:val="20"/>
                <w:szCs w:val="20"/>
              </w:rPr>
              <w:t>21 and miR</w:t>
            </w:r>
            <w:r>
              <w:rPr>
                <w:rFonts w:ascii="Times New Roman" w:cs="Times New Roman" w:hAnsi="Times New Roman"/>
                <w:sz w:val="20"/>
                <w:szCs w:val="20"/>
              </w:rPr>
              <w:t>NA</w:t>
            </w:r>
            <w:r>
              <w:rPr>
                <w:rFonts w:ascii="MS Mincho" w:cs="MS Mincho" w:hAnsi="MS Mincho"/>
                <w:sz w:val="20"/>
                <w:szCs w:val="20"/>
              </w:rPr>
              <w:t>‑</w:t>
            </w:r>
            <w:r>
              <w:rPr>
                <w:rFonts w:ascii="Times New Roman" w:cs="Times New Roman" w:hAnsi="Times New Roman"/>
                <w:sz w:val="20"/>
                <w:szCs w:val="20"/>
              </w:rPr>
              <w:t xml:space="preserve">222 increased with the progressive course from </w:t>
            </w:r>
            <w:r>
              <w:rPr>
                <w:rFonts w:ascii="Times New Roman" w:cs="Times New Roman" w:hAnsi="Times New Roman"/>
                <w:sz w:val="20"/>
                <w:szCs w:val="20"/>
              </w:rPr>
              <w:t xml:space="preserve"> </w:t>
            </w:r>
            <w:r>
              <w:rPr>
                <w:rFonts w:ascii="Times New Roman" w:cs="Times New Roman" w:hAnsi="Times New Roman"/>
                <w:sz w:val="20"/>
                <w:szCs w:val="20"/>
              </w:rPr>
              <w:t>CHC</w:t>
            </w:r>
            <w:r>
              <w:rPr>
                <w:rFonts w:ascii="Times New Roman" w:cs="Times New Roman" w:hAnsi="Times New Roman"/>
                <w:sz w:val="20"/>
                <w:szCs w:val="20"/>
              </w:rPr>
              <w:t xml:space="preserve"> </w:t>
            </w:r>
            <w:r>
              <w:rPr>
                <w:rFonts w:ascii="Times New Roman" w:cs="Times New Roman" w:hAnsi="Times New Roman"/>
                <w:sz w:val="20"/>
                <w:szCs w:val="20"/>
              </w:rPr>
              <w:t xml:space="preserve">to </w:t>
            </w:r>
            <w:r>
              <w:rPr>
                <w:rFonts w:ascii="Times New Roman" w:cs="Times New Roman" w:hAnsi="Times New Roman"/>
                <w:sz w:val="20"/>
                <w:szCs w:val="20"/>
              </w:rPr>
              <w:t xml:space="preserve"> </w:t>
            </w:r>
            <w:r>
              <w:rPr>
                <w:rFonts w:ascii="Times New Roman" w:cs="Times New Roman" w:hAnsi="Times New Roman"/>
                <w:sz w:val="20"/>
                <w:szCs w:val="20"/>
              </w:rPr>
              <w:t>LC</w:t>
            </w:r>
            <w:r>
              <w:rPr>
                <w:rFonts w:ascii="Times New Roman" w:cs="Times New Roman" w:hAnsi="Times New Roman"/>
                <w:sz w:val="20"/>
                <w:szCs w:val="20"/>
              </w:rPr>
              <w:t xml:space="preserve"> </w:t>
            </w:r>
            <w:r>
              <w:rPr>
                <w:rFonts w:ascii="Times New Roman" w:cs="Times New Roman" w:hAnsi="Times New Roman"/>
                <w:sz w:val="20"/>
                <w:szCs w:val="20"/>
              </w:rPr>
              <w:t>and HCC; p &lt; .001. Serum levels of miR</w:t>
            </w:r>
            <w:r>
              <w:rPr>
                <w:rFonts w:ascii="MS Mincho" w:cs="MS Mincho" w:hAnsi="MS Mincho"/>
                <w:sz w:val="20"/>
                <w:szCs w:val="20"/>
              </w:rPr>
              <w:t>‑</w:t>
            </w:r>
            <w:r>
              <w:rPr>
                <w:rFonts w:ascii="Times New Roman" w:cs="Times New Roman" w:hAnsi="Times New Roman"/>
                <w:sz w:val="20"/>
                <w:szCs w:val="20"/>
              </w:rPr>
              <w:t>122 in HCC patients were signi</w:t>
            </w:r>
            <w:r>
              <w:rPr>
                <w:rFonts w:ascii="Times New Roman" w:cs="Times New Roman" w:hAnsi="Times New Roman"/>
                <w:sz w:val="20"/>
                <w:szCs w:val="20"/>
              </w:rPr>
              <w:t>ﬁ</w:t>
            </w:r>
            <w:r>
              <w:rPr>
                <w:rFonts w:ascii="Times New Roman" w:cs="Times New Roman" w:hAnsi="Times New Roman"/>
                <w:sz w:val="20"/>
                <w:szCs w:val="20"/>
              </w:rPr>
              <w:t>cantly lower than non</w:t>
            </w:r>
            <w:r>
              <w:rPr>
                <w:rFonts w:ascii="MS Mincho" w:cs="MS Mincho" w:hAnsi="MS Mincho"/>
                <w:sz w:val="20"/>
                <w:szCs w:val="20"/>
              </w:rPr>
              <w:t>‑</w:t>
            </w:r>
            <w:r>
              <w:rPr>
                <w:rFonts w:ascii="Times New Roman" w:cs="Times New Roman" w:hAnsi="Times New Roman"/>
                <w:sz w:val="20"/>
                <w:szCs w:val="20"/>
              </w:rPr>
              <w:t>HCC patients (CHC and LC patients, n = 44); p &lt; .001.</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lang w:bidi="ar-EG"/>
              </w:rPr>
              <w:t>Kroupa et al.,</w:t>
            </w:r>
            <w:r>
              <w:rPr>
                <w:rFonts w:ascii="Times New Roman" w:cs="Times New Roman" w:hAnsi="Times New Roman"/>
                <w:b/>
                <w:bCs/>
                <w:sz w:val="20"/>
                <w:szCs w:val="20"/>
                <w:lang w:bidi="ar-EG"/>
              </w:rPr>
              <w:t xml:space="preserve"> (2022)</w:t>
            </w:r>
            <w:r>
              <w:rPr>
                <w:rFonts w:ascii="Times New Roman" w:cs="Times New Roman" w:hAnsi="Times New Roman"/>
                <w:noProof/>
              </w:rPr>
              <w:t xml:space="preserve"> </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TERRA was shown to be important not only for the preservation of telomere homeostasis and genomic stability but also for the expression of hundreds of genes across the human genome. These findings added a new level of complexity to telomere biology.</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lang w:bidi="ar-EG"/>
              </w:rPr>
              <w:t xml:space="preserve">Lombardo </w:t>
            </w:r>
            <w:r>
              <w:rPr>
                <w:rFonts w:ascii="Times New Roman" w:cs="Times New Roman" w:hAnsi="Times New Roman"/>
                <w:b/>
                <w:bCs/>
                <w:sz w:val="20"/>
                <w:szCs w:val="20"/>
                <w:lang w:bidi="ar-EG"/>
              </w:rPr>
              <w:t>et al., (2020)</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Somatic mutations of the TERT promoter in 67 human HCC</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lang w:bidi="ar-EG"/>
              </w:rPr>
              <w:t>Manganelli et al.,</w:t>
            </w:r>
            <w:r>
              <w:rPr>
                <w:rFonts w:ascii="Times New Roman" w:cs="Times New Roman" w:hAnsi="Times New Roman"/>
                <w:b/>
                <w:bCs/>
                <w:sz w:val="20"/>
                <w:szCs w:val="20"/>
                <w:lang w:bidi="ar-EG"/>
              </w:rPr>
              <w:t xml:space="preserve"> (2022)</w:t>
            </w:r>
            <w:r>
              <w:rPr>
                <w:rFonts w:ascii="Times New Roman" w:cs="Times New Roman" w:hAnsi="Times New Roman"/>
                <w:b/>
                <w:bCs/>
                <w:sz w:val="20"/>
                <w:szCs w:val="20"/>
                <w:lang w:bidi="ar-EG"/>
              </w:rPr>
              <w:t xml:space="preserve">  </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This study</w:t>
            </w:r>
            <w:r>
              <w:rPr>
                <w:rFonts w:ascii="Times New Roman" w:cs="Times New Roman" w:hAnsi="Times New Roman"/>
                <w:sz w:val="20"/>
                <w:szCs w:val="20"/>
              </w:rPr>
              <w:t xml:space="preserve"> found that the expres</w:t>
            </w:r>
            <w:r>
              <w:rPr>
                <w:rFonts w:ascii="Times New Roman" w:cs="Times New Roman" w:hAnsi="Times New Roman"/>
                <w:sz w:val="20"/>
                <w:szCs w:val="20"/>
              </w:rPr>
              <w:t xml:space="preserve">sion of TERRA and TERT mRNA was </w:t>
            </w:r>
            <w:r>
              <w:rPr>
                <w:rFonts w:ascii="Times New Roman" w:cs="Times New Roman" w:hAnsi="Times New Roman"/>
                <w:sz w:val="20"/>
                <w:szCs w:val="20"/>
              </w:rPr>
              <w:t>significantly deregulated in HCC, being TERRA downregulated and TERT mRNA upregulated in HCC tissues vs. the peritumoral ones</w:t>
            </w:r>
            <w:r>
              <w:rPr>
                <w:rFonts w:ascii="Times New Roman" w:cs="Times New Roman" w:hAnsi="Times New Roman"/>
                <w:sz w:val="20"/>
                <w:szCs w:val="20"/>
              </w:rPr>
              <w:t>.</w:t>
            </w:r>
          </w:p>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Further, the determinations of circulating TERRA and TERC showed higher amounts of these transcripts in the plasma of HCC patients vs. controls</w:t>
            </w:r>
          </w:p>
        </w:tc>
      </w:tr>
      <w:tr>
        <w:tblPrEx/>
        <w:trPr/>
        <w:tc>
          <w:tcPr>
            <w:tcW w:w="1838" w:type="dxa"/>
            <w:tcBorders/>
          </w:tcPr>
          <w:p>
            <w:pPr>
              <w:pStyle w:val="style0"/>
              <w:bidi w:val="false"/>
              <w:spacing w:lineRule="auto" w:line="360"/>
              <w:jc w:val="both"/>
              <w:rPr>
                <w:rFonts w:ascii="Times New Roman" w:cs="Times New Roman" w:hAnsi="Times New Roman"/>
                <w:sz w:val="20"/>
                <w:szCs w:val="20"/>
              </w:rPr>
            </w:pPr>
            <w:r>
              <w:rPr>
                <w:rFonts w:ascii="Times New Roman" w:cs="Times New Roman" w:hAnsi="Times New Roman"/>
                <w:b/>
                <w:bCs/>
                <w:sz w:val="20"/>
                <w:szCs w:val="20"/>
                <w:lang w:bidi="ar-EG"/>
              </w:rPr>
              <w:t xml:space="preserve">Wei </w:t>
            </w:r>
            <w:r>
              <w:rPr>
                <w:rFonts w:ascii="Times New Roman" w:cs="Times New Roman" w:hAnsi="Times New Roman"/>
                <w:b/>
                <w:bCs/>
                <w:sz w:val="20"/>
                <w:szCs w:val="20"/>
                <w:lang w:bidi="ar-EG"/>
              </w:rPr>
              <w:t>et al., (2020)</w:t>
            </w:r>
          </w:p>
        </w:tc>
        <w:tc>
          <w:tcPr>
            <w:tcW w:w="6458" w:type="dxa"/>
            <w:tcBorders/>
            <w:vAlign w:val="center"/>
          </w:tcPr>
          <w:p>
            <w:pPr>
              <w:pStyle w:val="style0"/>
              <w:bidi w:val="false"/>
              <w:spacing w:lineRule="auto" w:line="360"/>
              <w:rPr>
                <w:rFonts w:ascii="Times New Roman" w:cs="Times New Roman" w:hAnsi="Times New Roman"/>
                <w:sz w:val="20"/>
                <w:szCs w:val="20"/>
              </w:rPr>
            </w:pPr>
            <w:r>
              <w:rPr>
                <w:rFonts w:ascii="Times New Roman" w:cs="Times New Roman" w:hAnsi="Times New Roman"/>
                <w:sz w:val="20"/>
                <w:szCs w:val="20"/>
              </w:rPr>
              <w:t>miR</w:t>
            </w:r>
            <w:r>
              <w:rPr>
                <w:rFonts w:ascii="Times New Roman" w:cs="Times New Roman" w:hAnsi="Times New Roman"/>
                <w:sz w:val="20"/>
                <w:szCs w:val="20"/>
              </w:rPr>
              <w:t>NA</w:t>
            </w:r>
            <w:r>
              <w:rPr>
                <w:rFonts w:ascii="Times New Roman" w:cs="Times New Roman" w:hAnsi="Times New Roman"/>
                <w:sz w:val="20"/>
                <w:szCs w:val="20"/>
              </w:rPr>
              <w:t xml:space="preserve"> </w:t>
            </w:r>
            <w:r>
              <w:rPr>
                <w:rFonts w:ascii="Times New Roman" w:cs="Times New Roman" w:hAnsi="Times New Roman"/>
                <w:sz w:val="20"/>
                <w:szCs w:val="20"/>
              </w:rPr>
              <w:t>-</w:t>
            </w:r>
            <w:r>
              <w:rPr>
                <w:rFonts w:ascii="Times New Roman" w:cs="Times New Roman" w:hAnsi="Times New Roman"/>
                <w:sz w:val="20"/>
                <w:szCs w:val="20"/>
              </w:rPr>
              <w:t>122 was better at distinguishing between HCV-associated HCC and healthy people or those with HCV than between those with HCV-associated HCC and HCV-related cirrhosis.</w:t>
            </w:r>
          </w:p>
        </w:tc>
      </w:tr>
    </w:tbl>
    <w:p>
      <w:pPr>
        <w:pStyle w:val="style0"/>
        <w:bidi w:val="false"/>
        <w:spacing w:after="0" w:lineRule="auto" w:line="240"/>
        <w:rPr>
          <w:rFonts w:ascii="Times New Roman" w:cs="Times New Roman" w:eastAsia="Times New Roman" w:hAnsi="Times New Roman"/>
          <w:b/>
          <w:bCs/>
          <w:sz w:val="18"/>
          <w:szCs w:val="18"/>
        </w:rPr>
      </w:pPr>
    </w:p>
    <w:p>
      <w:pPr>
        <w:pStyle w:val="style0"/>
        <w:bidi w:val="false"/>
        <w:spacing w:after="0" w:lineRule="auto" w:line="240"/>
        <w:ind w:left="426"/>
        <w:rPr>
          <w:rFonts w:ascii="Times New Roman" w:cs="Times New Roman" w:eastAsia="Times New Roman" w:hAnsi="Times New Roman"/>
          <w:b/>
          <w:bCs/>
          <w:sz w:val="18"/>
          <w:szCs w:val="18"/>
          <w:rtl/>
        </w:rPr>
      </w:pPr>
      <w:r>
        <w:rPr>
          <w:rFonts w:ascii="Times New Roman" w:cs="Times New Roman" w:eastAsia="Times New Roman" w:hAnsi="Times New Roman"/>
          <w:b/>
          <w:bCs/>
          <w:sz w:val="18"/>
          <w:szCs w:val="18"/>
        </w:rPr>
        <w:t>HCC: hepatocellular carcinoma; TERRA: telomeric repeat-containing RNA; TERC: telomerase RNA component; TERT: telomerase reverse transcri</w:t>
      </w:r>
      <w:r>
        <w:rPr>
          <w:rFonts w:ascii="Times New Roman" w:cs="Times New Roman" w:eastAsia="Times New Roman" w:hAnsi="Times New Roman"/>
          <w:b/>
          <w:bCs/>
          <w:sz w:val="18"/>
          <w:szCs w:val="18"/>
        </w:rPr>
        <w:t>ptase; TR</w:t>
      </w:r>
      <w:r>
        <w:rPr>
          <w:rFonts w:ascii="Times New Roman" w:cs="Times New Roman" w:eastAsia="Times New Roman" w:hAnsi="Times New Roman"/>
          <w:b/>
          <w:bCs/>
          <w:sz w:val="18"/>
          <w:szCs w:val="18"/>
          <w:lang w:val="en-US"/>
        </w:rPr>
        <w:t>F: t</w:t>
      </w:r>
      <w:r>
        <w:rPr>
          <w:rFonts w:ascii="Times New Roman" w:cs="Times New Roman" w:eastAsia="Times New Roman" w:hAnsi="Times New Roman"/>
          <w:b/>
          <w:bCs/>
          <w:sz w:val="18"/>
          <w:szCs w:val="18"/>
        </w:rPr>
        <w:t xml:space="preserve">elomeric </w:t>
      </w:r>
      <w:r>
        <w:rPr>
          <w:rFonts w:ascii="Times New Roman" w:cs="Times New Roman" w:eastAsia="Times New Roman" w:hAnsi="Times New Roman"/>
          <w:b/>
          <w:bCs/>
          <w:sz w:val="18"/>
          <w:szCs w:val="18"/>
          <w:lang w:val="en-US"/>
        </w:rPr>
        <w:t>r</w:t>
      </w:r>
      <w:r>
        <w:rPr>
          <w:rFonts w:ascii="Times New Roman" w:cs="Times New Roman" w:eastAsia="Times New Roman" w:hAnsi="Times New Roman"/>
          <w:b/>
          <w:bCs/>
          <w:sz w:val="18"/>
          <w:szCs w:val="18"/>
        </w:rPr>
        <w:t>epeat-</w:t>
      </w:r>
      <w:r>
        <w:rPr>
          <w:rFonts w:ascii="Times New Roman" w:cs="Times New Roman" w:eastAsia="Times New Roman" w:hAnsi="Times New Roman"/>
          <w:b/>
          <w:bCs/>
          <w:sz w:val="18"/>
          <w:szCs w:val="18"/>
          <w:lang w:val="en-US"/>
        </w:rPr>
        <w:t>bi</w:t>
      </w:r>
      <w:r>
        <w:rPr>
          <w:rFonts w:ascii="Times New Roman" w:cs="Times New Roman" w:eastAsia="Times New Roman" w:hAnsi="Times New Roman"/>
          <w:b/>
          <w:bCs/>
          <w:sz w:val="18"/>
          <w:szCs w:val="18"/>
        </w:rPr>
        <w:t xml:space="preserve">nding </w:t>
      </w:r>
      <w:r>
        <w:rPr>
          <w:rFonts w:ascii="Times New Roman" w:cs="Times New Roman" w:eastAsia="Times New Roman" w:hAnsi="Times New Roman"/>
          <w:b/>
          <w:bCs/>
          <w:sz w:val="18"/>
          <w:szCs w:val="18"/>
          <w:lang w:val="en-US"/>
        </w:rPr>
        <w:t>f</w:t>
      </w:r>
      <w:r>
        <w:rPr>
          <w:rFonts w:ascii="Times New Roman" w:cs="Times New Roman" w:eastAsia="Times New Roman" w:hAnsi="Times New Roman"/>
          <w:b/>
          <w:bCs/>
          <w:sz w:val="18"/>
          <w:szCs w:val="18"/>
        </w:rPr>
        <w:t>actor</w:t>
      </w:r>
      <w:r>
        <w:rPr>
          <w:rFonts w:ascii="Times New Roman" w:cs="Times New Roman" w:eastAsia="Times New Roman" w:hAnsi="Times New Roman"/>
          <w:b/>
          <w:bCs/>
          <w:sz w:val="18"/>
          <w:szCs w:val="18"/>
          <w:lang w:val="en-US"/>
        </w:rPr>
        <w:t xml:space="preserve">; </w:t>
      </w:r>
      <w:r>
        <w:rPr>
          <w:rFonts w:ascii="Times New Roman" w:cs="Times New Roman" w:eastAsia="Times New Roman" w:hAnsi="Times New Roman"/>
          <w:b/>
          <w:bCs/>
          <w:sz w:val="18"/>
          <w:szCs w:val="18"/>
        </w:rPr>
        <w:t>mRNA</w:t>
      </w:r>
      <w:r>
        <w:rPr>
          <w:rFonts w:ascii="Times New Roman" w:cs="Times New Roman" w:eastAsia="Times New Roman" w:hAnsi="Times New Roman"/>
          <w:b/>
          <w:bCs/>
          <w:sz w:val="18"/>
          <w:szCs w:val="18"/>
        </w:rPr>
        <w:t xml:space="preserve">: </w:t>
      </w:r>
      <w:r>
        <w:rPr>
          <w:rFonts w:ascii="Times New Roman" w:cs="Times New Roman" w:eastAsia="Times New Roman" w:hAnsi="Times New Roman"/>
          <w:b/>
          <w:bCs/>
          <w:sz w:val="18"/>
          <w:szCs w:val="18"/>
        </w:rPr>
        <w:t>messenger ribonucleic acid</w:t>
      </w:r>
      <w:r>
        <w:rPr>
          <w:rFonts w:ascii="Times New Roman" w:cs="Times New Roman" w:eastAsia="Times New Roman" w:hAnsi="Times New Roman"/>
          <w:b/>
          <w:bCs/>
          <w:sz w:val="18"/>
          <w:szCs w:val="18"/>
        </w:rPr>
        <w:t>; miR/microRNA: microRNA; HCV: hepatitis C virus</w:t>
      </w:r>
      <w:r>
        <w:rPr>
          <w:rFonts w:ascii="Times New Roman" w:cs="Times New Roman" w:eastAsia="Times New Roman" w:hAnsi="Times New Roman"/>
          <w:b/>
          <w:bCs/>
          <w:sz w:val="18"/>
          <w:szCs w:val="18"/>
        </w:rPr>
        <w:t>;</w:t>
      </w:r>
      <w:r>
        <w:rPr>
          <w:rFonts w:ascii="Times New Roman" w:cs="Times New Roman" w:eastAsia="Times New Roman" w:hAnsi="Times New Roman"/>
          <w:b/>
          <w:bCs/>
          <w:sz w:val="18"/>
          <w:szCs w:val="18"/>
        </w:rPr>
        <w:t xml:space="preserve"> </w:t>
      </w:r>
      <w:r>
        <w:rPr>
          <w:rFonts w:ascii="Times New Roman" w:cs="Times New Roman" w:eastAsia="Times New Roman" w:hAnsi="Times New Roman"/>
          <w:b/>
          <w:bCs/>
          <w:sz w:val="18"/>
          <w:szCs w:val="18"/>
        </w:rPr>
        <w:t>CHC</w:t>
      </w:r>
      <w:r>
        <w:rPr>
          <w:rFonts w:ascii="Times New Roman" w:cs="Times New Roman" w:eastAsia="Times New Roman" w:hAnsi="Times New Roman"/>
          <w:b/>
          <w:bCs/>
          <w:sz w:val="18"/>
          <w:szCs w:val="18"/>
        </w:rPr>
        <w:t xml:space="preserve">: </w:t>
      </w:r>
      <w:r>
        <w:rPr>
          <w:rFonts w:ascii="Times New Roman" w:cs="Times New Roman" w:eastAsia="Times New Roman" w:hAnsi="Times New Roman"/>
          <w:b/>
          <w:bCs/>
          <w:sz w:val="18"/>
          <w:szCs w:val="18"/>
        </w:rPr>
        <w:t>chronic HCV</w:t>
      </w:r>
      <w:r>
        <w:rPr>
          <w:rFonts w:ascii="Times New Roman" w:cs="Times New Roman" w:eastAsia="Times New Roman" w:hAnsi="Times New Roman"/>
          <w:b/>
          <w:bCs/>
          <w:sz w:val="18"/>
          <w:szCs w:val="18"/>
        </w:rPr>
        <w:t>;</w:t>
      </w:r>
      <w:r>
        <w:rPr>
          <w:rFonts w:ascii="Times New Roman" w:cs="Times New Roman" w:eastAsia="Times New Roman" w:hAnsi="Times New Roman"/>
          <w:b/>
          <w:bCs/>
          <w:sz w:val="18"/>
          <w:szCs w:val="18"/>
        </w:rPr>
        <w:t xml:space="preserve"> </w:t>
      </w:r>
      <w:r>
        <w:rPr>
          <w:rFonts w:ascii="Times New Roman" w:cs="Times New Roman" w:eastAsia="Times New Roman" w:hAnsi="Times New Roman"/>
          <w:b/>
          <w:bCs/>
          <w:sz w:val="18"/>
          <w:szCs w:val="18"/>
        </w:rPr>
        <w:t>LC</w:t>
      </w:r>
      <w:r>
        <w:rPr>
          <w:rFonts w:ascii="Times New Roman" w:cs="Times New Roman" w:eastAsia="Times New Roman" w:hAnsi="Times New Roman"/>
          <w:b/>
          <w:bCs/>
          <w:sz w:val="18"/>
          <w:szCs w:val="18"/>
        </w:rPr>
        <w:t xml:space="preserve">: </w:t>
      </w:r>
      <w:r>
        <w:rPr>
          <w:rFonts w:ascii="Times New Roman" w:cs="Times New Roman" w:eastAsia="Times New Roman" w:hAnsi="Times New Roman"/>
          <w:b/>
          <w:bCs/>
          <w:sz w:val="18"/>
          <w:szCs w:val="18"/>
        </w:rPr>
        <w:t>liver cirrhosis</w:t>
      </w:r>
      <w:r>
        <w:rPr>
          <w:rFonts w:ascii="Times New Roman" w:cs="Times New Roman" w:eastAsia="Times New Roman" w:hAnsi="Times New Roman"/>
          <w:b/>
          <w:bCs/>
          <w:sz w:val="18"/>
          <w:szCs w:val="18"/>
        </w:rPr>
        <w:t>.</w:t>
      </w:r>
    </w:p>
    <w:p>
      <w:pPr>
        <w:pStyle w:val="style0"/>
        <w:bidi w:val="false"/>
        <w:spacing w:after="0" w:lineRule="auto" w:line="240"/>
        <w:rPr>
          <w:rFonts w:ascii="Times New Roman" w:cs="Times New Roman" w:eastAsia="Times New Roman" w:hAnsi="Times New Roman"/>
          <w:b/>
          <w:bCs/>
          <w:sz w:val="18"/>
          <w:szCs w:val="18"/>
        </w:rPr>
      </w:pPr>
      <w:r>
        <w:rPr>
          <w:rFonts w:ascii="Times New Roman" w:cs="Times New Roman" w:eastAsia="Times New Roman" w:hAnsi="Times New Roman"/>
          <w:b/>
          <w:bCs/>
          <w:sz w:val="18"/>
          <w:szCs w:val="18"/>
        </w:rPr>
        <w:br w:type="page"/>
      </w:r>
    </w:p>
    <w:p>
      <w:pPr>
        <w:pStyle w:val="style0"/>
        <w:bidi w:val="false"/>
        <w:spacing w:after="0" w:lineRule="auto" w:line="360"/>
        <w:jc w:val="both"/>
        <w:rPr>
          <w:rFonts w:ascii="Times New Roman" w:cs="Times New Roman" w:eastAsia="Times New Roman" w:hAnsi="Times New Roman"/>
        </w:rPr>
      </w:pPr>
      <w:r>
        <w:rPr>
          <w:rFonts w:ascii="Times New Roman" w:cs="Times New Roman" w:eastAsia="Times New Roman" w:hAnsi="Times New Roman"/>
          <w:noProof/>
        </w:rPr>
        <w:drawing>
          <wp:anchor distT="0" distB="0" distL="0" distR="0" simplePos="false" relativeHeight="2" behindDoc="false" locked="false" layoutInCell="true" allowOverlap="true">
            <wp:simplePos x="0" y="0"/>
            <wp:positionH relativeFrom="column">
              <wp:posOffset>-95250</wp:posOffset>
            </wp:positionH>
            <wp:positionV relativeFrom="paragraph">
              <wp:posOffset>1056005</wp:posOffset>
            </wp:positionV>
            <wp:extent cx="5731510" cy="4215130"/>
            <wp:effectExtent l="0" t="0" r="2540" b="0"/>
            <wp:wrapNone/>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5731510" cy="4215130"/>
                    </a:xfrm>
                    <a:prstGeom prst="rect"/>
                  </pic:spPr>
                </pic:pic>
              </a:graphicData>
            </a:graphic>
          </wp:anchor>
        </w:drawing>
      </w:r>
      <w:r>
        <w:rPr>
          <w:rFonts w:ascii="Times New Roman" w:cs="Times New Roman" w:eastAsia="Times New Roman" w:hAnsi="Times New Roman"/>
        </w:rPr>
        <w:t>Figure 1. Flow diagram of study identification and selection.</w:t>
      </w:r>
    </w:p>
    <w:p>
      <w:pPr>
        <w:pStyle w:val="style0"/>
        <w:bidi w:val="false"/>
        <w:spacing w:after="0" w:lineRule="auto" w:line="360"/>
        <w:jc w:val="both"/>
        <w:rPr>
          <w:rFonts w:ascii="Times New Roman" w:cs="Times New Roman" w:hAnsi="Times New Roman"/>
        </w:rPr>
        <w:sectPr>
          <w:pgSz w:w="11906" w:h="16838" w:orient="portrait"/>
          <w:pgMar w:top="1440" w:right="1440" w:bottom="1440" w:left="1440" w:header="720" w:footer="720" w:gutter="0"/>
          <w:cols w:space="720"/>
          <w:docGrid w:linePitch="360"/>
        </w:sectPr>
      </w:pP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Results</w:t>
      </w:r>
    </w:p>
    <w:p>
      <w:pPr>
        <w:pStyle w:val="style0"/>
        <w:bidi w:val="false"/>
        <w:spacing w:after="0" w:lineRule="auto" w:line="360"/>
        <w:jc w:val="both"/>
        <w:rPr>
          <w:rFonts w:ascii="Times New Roman" w:cs="Times New Roman" w:hAnsi="Times New Roman"/>
        </w:rPr>
      </w:pPr>
      <w:r>
        <w:rPr>
          <w:rFonts w:ascii="Times New Roman" w:cs="Times New Roman" w:hAnsi="Times New Roman"/>
        </w:rPr>
        <w:t>Thirty-two records were identified through systematic searches conducted across PubMed, Scopus, Web of Science, and Google Scholar. Twenty-seven studies remained for title and abstract screening after the removal of five duplicates. Of these, eighteen records were excluded due to unrelated outcomes, non-</w:t>
      </w:r>
      <w:r>
        <w:rPr>
          <w:rFonts w:ascii="Times New Roman" w:cs="Times New Roman" w:hAnsi="Times New Roman"/>
        </w:rPr>
        <w:t xml:space="preserve"> </w:t>
      </w:r>
      <w:r>
        <w:rPr>
          <w:rFonts w:ascii="Times New Roman" w:cs="Times New Roman" w:hAnsi="Times New Roman"/>
        </w:rPr>
        <w:t>HCC</w:t>
      </w:r>
      <w:r>
        <w:rPr>
          <w:rFonts w:ascii="Times New Roman" w:cs="Times New Roman" w:hAnsi="Times New Roman"/>
        </w:rPr>
        <w:t xml:space="preserve"> populations, experimental or animal studies, or review articles. The eligibility of nine full-text articles was assessed, and two were excluded because of insufficient data on relevant molecular biomarkers or lack of clinically meaningful diagnostic or prognostic assessment. </w:t>
      </w:r>
      <w:r>
        <w:rPr>
          <w:rFonts w:ascii="Times New Roman" w:cs="Times New Roman" w:hAnsi="Times New Roman"/>
        </w:rPr>
        <w:t>The qualitative synthesis ultimately included a total of seven investigations</w:t>
      </w:r>
      <w:r>
        <w:rPr>
          <w:rFonts w:ascii="Times New Roman" w:cs="Times New Roman" w:hAnsi="Times New Roman"/>
        </w:rPr>
        <w:t xml:space="preserve"> (Figure 1).</w:t>
      </w:r>
    </w:p>
    <w:p>
      <w:pPr>
        <w:pStyle w:val="style0"/>
        <w:bidi w:val="false"/>
        <w:spacing w:after="0" w:lineRule="auto" w:line="360"/>
        <w:rPr>
          <w:rFonts w:ascii="Times New Roman" w:cs="Times New Roman" w:hAnsi="Times New Roman"/>
        </w:rPr>
      </w:pPr>
      <w:r>
        <w:rPr>
          <w:rFonts w:ascii="Times New Roman" w:cs="Times New Roman" w:hAnsi="Times New Roman"/>
        </w:rPr>
        <w:t>Characteristics of Included Studies</w:t>
      </w:r>
    </w:p>
    <w:p>
      <w:pPr>
        <w:pStyle w:val="style0"/>
        <w:bidi w:val="false"/>
        <w:spacing w:after="0" w:lineRule="auto" w:line="360"/>
        <w:jc w:val="both"/>
        <w:rPr>
          <w:rFonts w:ascii="Times New Roman" w:cs="Times New Roman" w:hAnsi="Times New Roman"/>
          <w:rtl/>
        </w:rPr>
      </w:pPr>
      <w:r>
        <w:rPr>
          <w:rFonts w:ascii="Times New Roman" w:cs="Times New Roman" w:hAnsi="Times New Roman"/>
        </w:rPr>
        <w:t xml:space="preserve">The seven included studies were observational human studies conducted among adult </w:t>
      </w:r>
      <w:r>
        <w:rPr>
          <w:rFonts w:ascii="Times New Roman" w:cs="Times New Roman" w:hAnsi="Times New Roman"/>
        </w:rPr>
        <w:t>cases</w:t>
      </w:r>
      <w:r>
        <w:rPr>
          <w:rFonts w:ascii="Times New Roman" w:cs="Times New Roman" w:hAnsi="Times New Roman"/>
        </w:rPr>
        <w:t xml:space="preserve"> with </w:t>
      </w:r>
      <w:r>
        <w:rPr>
          <w:rFonts w:ascii="Times New Roman" w:cs="Times New Roman" w:hAnsi="Times New Roman"/>
        </w:rPr>
        <w:t>chronic liver disease</w:t>
      </w:r>
      <w:r>
        <w:rPr>
          <w:rFonts w:ascii="Times New Roman" w:cs="Times New Roman" w:hAnsi="Times New Roman"/>
        </w:rPr>
        <w:t xml:space="preserve">, predominantly liver cirrhosis with or without </w:t>
      </w:r>
      <w:r>
        <w:rPr>
          <w:rFonts w:ascii="Times New Roman" w:cs="Times New Roman" w:hAnsi="Times New Roman"/>
        </w:rPr>
        <w:t>HCC</w:t>
      </w:r>
      <w:r>
        <w:rPr>
          <w:rFonts w:ascii="Times New Roman" w:cs="Times New Roman" w:hAnsi="Times New Roman"/>
        </w:rPr>
        <w:t xml:space="preserve">. </w:t>
      </w:r>
      <w:r>
        <w:rPr>
          <w:rFonts w:ascii="Times New Roman" w:cs="Times New Roman" w:hAnsi="Times New Roman"/>
        </w:rPr>
        <w:t xml:space="preserve">The sample size was inconsistent among the studies and encompassed </w:t>
      </w:r>
      <w:r>
        <w:rPr>
          <w:rFonts w:ascii="Times New Roman" w:cs="Times New Roman" w:hAnsi="Times New Roman"/>
        </w:rPr>
        <w:t xml:space="preserve">HCC </w:t>
      </w:r>
      <w:r>
        <w:rPr>
          <w:rFonts w:ascii="Times New Roman" w:cs="Times New Roman" w:hAnsi="Times New Roman"/>
        </w:rPr>
        <w:t>cases</w:t>
      </w:r>
      <w:r>
        <w:rPr>
          <w:rFonts w:ascii="Times New Roman" w:cs="Times New Roman" w:hAnsi="Times New Roman"/>
        </w:rPr>
        <w:t xml:space="preserve"> in comparison to cirrhotic </w:t>
      </w:r>
      <w:r>
        <w:rPr>
          <w:rFonts w:ascii="Times New Roman" w:cs="Times New Roman" w:hAnsi="Times New Roman"/>
        </w:rPr>
        <w:t>cases</w:t>
      </w:r>
      <w:r>
        <w:rPr>
          <w:rFonts w:ascii="Times New Roman" w:cs="Times New Roman" w:hAnsi="Times New Roman"/>
        </w:rPr>
        <w:t xml:space="preserve"> without HCC and/or healthy control subjects with comparable demographic characteristics.</w:t>
      </w:r>
      <w:r>
        <w:rPr>
          <w:rFonts w:ascii="Times New Roman" w:cs="Times New Roman" w:hAnsi="Times New Roman"/>
        </w:rPr>
        <w:t xml:space="preserve"> In the included studies, several molecular and genetic biomarkers associated with </w:t>
      </w:r>
      <w:r>
        <w:rPr>
          <w:rFonts w:ascii="Times New Roman" w:cs="Times New Roman" w:hAnsi="Times New Roman"/>
        </w:rPr>
        <w:t xml:space="preserve">HCC </w:t>
      </w:r>
      <w:r>
        <w:rPr>
          <w:rFonts w:ascii="Times New Roman" w:cs="Times New Roman" w:hAnsi="Times New Roman"/>
        </w:rPr>
        <w:t xml:space="preserve">were evaluated, including telomere-related molecules such as </w:t>
      </w:r>
      <w:r>
        <w:rPr>
          <w:rFonts w:ascii="Times New Roman" w:cs="Times New Roman" w:hAnsi="Times New Roman"/>
        </w:rPr>
        <w:t>TERRA</w:t>
      </w:r>
      <w:r>
        <w:rPr>
          <w:rFonts w:ascii="Times New Roman" w:cs="Times New Roman" w:hAnsi="Times New Roman"/>
        </w:rPr>
        <w:t xml:space="preserve">, telomerase components (TERT and TERC), as well as selected circulating microRNAs. These biomarkers were assessed either at the tissue level or in cellular and extracellular circulating compartments using quantitative molecular techniques. The presence and severity of </w:t>
      </w:r>
      <w:r>
        <w:rPr>
          <w:rFonts w:ascii="Times New Roman" w:cs="Times New Roman" w:hAnsi="Times New Roman"/>
        </w:rPr>
        <w:t xml:space="preserve">HCC </w:t>
      </w:r>
      <w:r>
        <w:rPr>
          <w:rFonts w:ascii="Times New Roman" w:cs="Times New Roman" w:hAnsi="Times New Roman"/>
        </w:rPr>
        <w:t>were determined using standard clinical, radiological, and pathological criteria. In addition, some of the included studies explored the association between molecular biomarker expression, including TERRA, and telomerase activity, tumor progression, metastatic potential, or prognostic outcomes in patients with HCC</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[12]</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rPr>
          <w:rFonts w:ascii="Times New Roman" w:cs="Times New Roman" w:hAnsi="Times New Roman"/>
        </w:rPr>
      </w:pPr>
      <w:r>
        <w:rPr>
          <w:rFonts w:ascii="Times New Roman" w:cs="Times New Roman" w:hAnsi="Times New Roman"/>
        </w:rPr>
        <w:t>TERRA Expression and Disease Activity</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According to the included studies, patients with </w:t>
      </w:r>
      <w:r>
        <w:rPr>
          <w:rFonts w:ascii="Times New Roman" w:cs="Times New Roman" w:hAnsi="Times New Roman"/>
        </w:rPr>
        <w:t xml:space="preserve">HCC </w:t>
      </w:r>
      <w:r>
        <w:rPr>
          <w:rFonts w:ascii="Times New Roman" w:cs="Times New Roman" w:hAnsi="Times New Roman"/>
        </w:rPr>
        <w:t xml:space="preserve">demonstrated altered expression of several molecular biomarkers compared with cirrhotic </w:t>
      </w:r>
      <w:r>
        <w:rPr>
          <w:rFonts w:ascii="Times New Roman" w:cs="Times New Roman" w:hAnsi="Times New Roman"/>
        </w:rPr>
        <w:t>cases</w:t>
      </w:r>
      <w:r>
        <w:rPr>
          <w:rFonts w:ascii="Times New Roman" w:cs="Times New Roman" w:hAnsi="Times New Roman"/>
        </w:rPr>
        <w:t xml:space="preserve"> without HCC and/or healthy contro</w:t>
      </w:r>
      <w:r>
        <w:rPr>
          <w:rFonts w:ascii="Times New Roman" w:cs="Times New Roman" w:hAnsi="Times New Roman"/>
        </w:rPr>
        <w:t>ls</w:t>
      </w:r>
      <w:r>
        <w:rPr>
          <w:rFonts w:ascii="Times New Roman" w:cs="Times New Roman" w:hAnsi="Times New Roman"/>
        </w:rPr>
        <w:t xml:space="preserve">. In particular, dysregulation of telomere-related molecules such as </w:t>
      </w:r>
      <w:r>
        <w:rPr>
          <w:rFonts w:ascii="Times New Roman" w:cs="Times New Roman" w:hAnsi="Times New Roman"/>
        </w:rPr>
        <w:t xml:space="preserve">TERRA </w:t>
      </w:r>
      <w:r>
        <w:rPr>
          <w:rFonts w:ascii="Times New Roman" w:cs="Times New Roman" w:hAnsi="Times New Roman"/>
        </w:rPr>
        <w:t>and telomerase components including TERT and TERC was observed in patients with HCC. Reduced TERRA expression was more pronounced in patients with advanced tumor characteristics, aggressive biological behavior, or poorer prognostic profiles. These alterations were frequently accompanied by increased telomerase activity, telomere length dysregulation, and enhanced tumor progression</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[9]</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Additionally</w:t>
      </w:r>
      <w:r>
        <w:rPr>
          <w:rFonts w:ascii="Times New Roman" w:cs="Times New Roman" w:hAnsi="Times New Roman"/>
        </w:rPr>
        <w:t xml:space="preserve">, changes in the expression of selected circulating microRNAs reported in some studies were also </w:t>
      </w:r>
      <w:r>
        <w:rPr>
          <w:rFonts w:ascii="Times New Roman" w:cs="Times New Roman" w:hAnsi="Times New Roman"/>
        </w:rPr>
        <w:t>relate to</w:t>
      </w:r>
      <w:r>
        <w:rPr>
          <w:rFonts w:ascii="Times New Roman" w:cs="Times New Roman" w:hAnsi="Times New Roman"/>
        </w:rPr>
        <w:t xml:space="preserve"> tumor development, disease progression, and clinical outcomes in </w:t>
      </w:r>
      <w:r>
        <w:rPr>
          <w:rFonts w:ascii="Times New Roman" w:cs="Times New Roman" w:hAnsi="Times New Roman"/>
        </w:rPr>
        <w:t>HCC cases</w:t>
      </w:r>
      <w:r>
        <w:rPr>
          <w:rFonts w:ascii="Times New Roman" w:cs="Times New Roman" w:hAnsi="Times New Roman"/>
        </w:rPr>
        <w:t xml:space="preserve">. Collectively, these findings place TERRA and other molecular biomarkers in close association with </w:t>
      </w:r>
      <w:r>
        <w:rPr>
          <w:rFonts w:ascii="Times New Roman" w:cs="Times New Roman" w:hAnsi="Times New Roman"/>
        </w:rPr>
        <w:t>HCC</w:t>
      </w:r>
      <w:r>
        <w:rPr>
          <w:rFonts w:ascii="Times New Roman" w:cs="Times New Roman" w:hAnsi="Times New Roman"/>
        </w:rPr>
        <w:t xml:space="preserve"> activity and progression, suggesting that their dysregulation reflects underlying tumor biology rather than representing nonspecific molecular alterations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[13]</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Association with Tumor Burden and Biological Aggressiveness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Across the reviewed studies, altered expression of several molecular biomarkers demonstrated a consistent association with tumor burden and biological aggressiveness in </w:t>
      </w:r>
      <w:r>
        <w:rPr>
          <w:rFonts w:ascii="Times New Roman" w:cs="Times New Roman" w:hAnsi="Times New Roman"/>
        </w:rPr>
        <w:t>HCC</w:t>
      </w:r>
      <w:r>
        <w:rPr>
          <w:rFonts w:ascii="Times New Roman" w:cs="Times New Roman" w:hAnsi="Times New Roman"/>
        </w:rPr>
        <w:t xml:space="preserve">. In particular, dysregulation of telomere-related molecules such as </w:t>
      </w:r>
      <w:r>
        <w:rPr>
          <w:rFonts w:ascii="Times New Roman" w:cs="Times New Roman" w:hAnsi="Times New Roman"/>
        </w:rPr>
        <w:t xml:space="preserve">TERRA </w:t>
      </w:r>
      <w:r>
        <w:rPr>
          <w:rFonts w:ascii="Times New Roman" w:cs="Times New Roman" w:hAnsi="Times New Roman"/>
        </w:rPr>
        <w:t>and telomerase components including TERT and TERC was associated with more advanced disease characteristics. Lower levels of TERRA were frequently observed in patients with aggressive tumor features, including enhanced telomerase activity, telomere length dysregulation, increased cellular proliferation, and metastatic potential</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In addition, alterations in other circulating molecular biomarkers, including selected microRNAs reported in some studies, were also linked to tumor progression and unfavorable clinicopathological characteristics. This pattern suggests that progressive tumor-related molecular stress may contribute to the dysregulation of telomere-associated molecules and other molecular markers during hepatocarcinogenesis. From a biological perspective, these findings are coherent: genomic instability and sustained oncogenic stress are known to disrupt telomere-associated regulatory mechanisms, and the dysregulation of TERRA and related molecular biomarkers appears to reflect underlying malignant activity rather than representing nonspecific molecular alterations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[9]</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Implications for Disease Activity Assessment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Altered expression of </w:t>
      </w:r>
      <w:r>
        <w:rPr>
          <w:rFonts w:ascii="Times New Roman" w:cs="Times New Roman" w:hAnsi="Times New Roman"/>
        </w:rPr>
        <w:t xml:space="preserve">TERRA </w:t>
      </w:r>
      <w:r>
        <w:rPr>
          <w:rFonts w:ascii="Times New Roman" w:cs="Times New Roman" w:hAnsi="Times New Roman"/>
        </w:rPr>
        <w:t xml:space="preserve">particularly reduced circulating or tissue levels, was </w:t>
      </w:r>
      <w:r>
        <w:rPr>
          <w:rFonts w:ascii="Times New Roman" w:cs="Times New Roman" w:hAnsi="Times New Roman"/>
        </w:rPr>
        <w:t>related to</w:t>
      </w:r>
      <w:r>
        <w:rPr>
          <w:rFonts w:ascii="Times New Roman" w:cs="Times New Roman" w:hAnsi="Times New Roman"/>
        </w:rPr>
        <w:t xml:space="preserve"> </w:t>
      </w:r>
      <w:r>
        <w:rPr>
          <w:rFonts w:ascii="Times New Roman" w:cs="Times New Roman" w:hAnsi="Times New Roman"/>
        </w:rPr>
        <w:t xml:space="preserve">more advanced disease characteristics in </w:t>
      </w:r>
      <w:r>
        <w:rPr>
          <w:rFonts w:ascii="Times New Roman" w:cs="Times New Roman" w:hAnsi="Times New Roman"/>
        </w:rPr>
        <w:t>HCC participants</w:t>
      </w:r>
      <w:r>
        <w:rPr>
          <w:rFonts w:ascii="Times New Roman" w:cs="Times New Roman" w:hAnsi="Times New Roman"/>
        </w:rPr>
        <w:t>. Similar patterns of dysregulation were also reported for other molecular biomarkers involved in hepatocarcinogenesis, including telomerase-related components such as TERT and TERC, as well as selected circulating microRNAs identified in some of the included studies. These molecular alterations were observed independently of traditional clinical or biochemical markers, suggesting that biomarker dysregulation reflects intrinsic tumor biology rather than secondary systemic changes re</w:t>
      </w:r>
      <w:r>
        <w:rPr>
          <w:rFonts w:ascii="Times New Roman" w:cs="Times New Roman" w:hAnsi="Times New Roman"/>
        </w:rPr>
        <w:t>lated to liver dysfunction alone</w:t>
      </w:r>
      <w:r>
        <w:rPr>
          <w:rFonts w:ascii="Times New Roman" w:cs="Times New Roman" w:hAnsi="Times New Roman"/>
        </w:rPr>
        <w:t xml:space="preserve"> </w:t>
      </w:r>
      <w:r>
        <w:rPr>
          <w:rFonts w:ascii="Times New Roman" w:cs="Times New Roman" w:hAnsi="Times New Roman"/>
          <w:vertAlign w:val="superscript"/>
        </w:rPr>
        <w:fldChar w:fldCharType="begin"/>
      </w:r>
      <w:r>
        <w:rPr>
          <w:rFonts w:ascii="Times New Roman" w:cs="Times New Roman" w:hAnsi="Times New Roman"/>
          <w:vertAlign w:val="superscript"/>
        </w:rPr>
        <w:instrText xml:space="preserve"> ADDIN EN.CITE &lt;EndNote&gt;&lt;Cite&gt;&lt;Author&gt;Das&lt;/Author&gt;&lt;Year&gt;2023&lt;/Year&gt;&lt;RecNum&gt;45&lt;/RecNum&gt;&lt;DisplayText&gt;&lt;style face="superscript"&gt;[14]&lt;/style&gt;&lt;/DisplayText&gt;&lt;record&gt;&lt;rec-number&gt;45&lt;/rec-number&gt;&lt;foreign-keys&gt;&lt;key app="EN" db-id="vpd02ex942spede959xvt05ns5pw50xas9d9" timestamp="1777288540"&gt;45&lt;/key&gt;&lt;/foreign-keys&gt;&lt;ref-type name="Journal Article"&gt;17&lt;/ref-type&gt;&lt;contributors&gt;&lt;authors&gt;&lt;author&gt;Das, S.&lt;/author&gt;&lt;author&gt;Dey, M. K.&lt;/author&gt;&lt;author&gt;Devireddy, R.&lt;/author&gt;&lt;author&gt;Gartia, M. R.&lt;/author&gt;&lt;/authors&gt;&lt;/contributors&gt;&lt;auth-address&gt;Department of Mechanical and Industrial Engineering, Louisiana State University, Baton Rouge, LA 70803, USA.&lt;/auth-address&gt;&lt;titles&gt;&lt;title&gt;Biomarkers in Cancer Detection, Diagnosis, and Prognosis&lt;/title&gt;&lt;secondary-title&gt;Sensors (Basel)&lt;/secondary-title&gt;&lt;/titles&gt;&lt;periodical&gt;&lt;full-title&gt;Sensors (Basel)&lt;/full-title&gt;&lt;/periodical&gt;&lt;volume&gt;24&lt;/volume&gt;&lt;number&gt;1&lt;/number&gt;&lt;edition&gt;2024/01/11&lt;/edition&gt;&lt;keywords&gt;&lt;keyword&gt;Humans&lt;/keyword&gt;&lt;keyword&gt;*Neoplasms/diagnosis/genetics&lt;/keyword&gt;&lt;keyword&gt;Prognosis&lt;/keyword&gt;&lt;keyword&gt;Biomarkers&lt;/keyword&gt;&lt;keyword&gt;Disease Progression&lt;/keyword&gt;&lt;keyword&gt;Gene Expression Profiling&lt;/keyword&gt;&lt;keyword&gt;CT needle biopsy&lt;/keyword&gt;&lt;keyword&gt;DNA&lt;/keyword&gt;&lt;keyword&gt;Mri&lt;/keyword&gt;&lt;keyword&gt;Pet&lt;/keyword&gt;&lt;keyword&gt;Rna&lt;/keyword&gt;&lt;keyword&gt;RNAseq&lt;/keyword&gt;&lt;keyword&gt;lipids&lt;/keyword&gt;&lt;keyword&gt;proteomics&lt;/keyword&gt;&lt;/keywords&gt;&lt;dates&gt;&lt;year&gt;2023&lt;/year&gt;&lt;pub-dates&gt;&lt;date&gt;Dec 20&lt;/date&gt;&lt;/pub-dates&gt;&lt;/dates&gt;&lt;isbn&gt;1424-8220&lt;/isbn&gt;&lt;accession-num&gt;38202898&lt;/accession-num&gt;&lt;urls&gt;&lt;/urls&gt;&lt;custom2&gt;PMC10780704&lt;/custom2&gt;&lt;electronic-resource-num&gt;10.3390/s24010037&lt;/electronic-resource-num&gt;&lt;remote-database-provider&gt;NLM&lt;/remote-database-provider&gt;&lt;language&gt;eng&lt;/language&gt;&lt;/record&gt;&lt;/Cite&gt;&lt;/EndNote&gt;</w:instrText>
      </w:r>
      <w:r>
        <w:rPr>
          <w:rFonts w:ascii="Times New Roman" w:cs="Times New Roman" w:hAnsi="Times New Roman"/>
          <w:vertAlign w:val="superscript"/>
        </w:rPr>
        <w:fldChar w:fldCharType="separate"/>
      </w:r>
      <w:r>
        <w:rPr>
          <w:rFonts w:ascii="Times New Roman" w:cs="Times New Roman" w:hAnsi="Times New Roman"/>
          <w:vertAlign w:val="superscript"/>
        </w:rPr>
        <w:t>[14]</w:t>
      </w:r>
      <w:r>
        <w:rPr>
          <w:rFonts w:ascii="Times New Roman" w:cs="Times New Roman" w:hAnsi="Times New Roman"/>
          <w:vertAlign w:val="superscript"/>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Accordingly, TERRA and other related molecular biomarkers may represent promising non-invasive tools for assessing tumor activity, biological aggressiveness, and disease progression in patients with </w:t>
      </w:r>
      <w:r>
        <w:rPr>
          <w:rFonts w:ascii="Times New Roman" w:cs="Times New Roman" w:hAnsi="Times New Roman"/>
        </w:rPr>
        <w:t>HCC</w:t>
      </w:r>
      <w:r>
        <w:rPr>
          <w:rFonts w:ascii="Times New Roman" w:cs="Times New Roman" w:hAnsi="Times New Roman"/>
        </w:rPr>
        <w:t>. Their evaluation in circulating or tissue samples may provide additional insights into disease dynamics and complement conventional diagnostic and prognostic approaches used in clinical practice</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&lt;EndNote&gt;&lt;Cite&gt;&lt;Author&gt;Kroupa&lt;/Author&gt;&lt;Year&gt;2022&lt;/Year&gt;&lt;RecNum&gt;26&lt;/RecNum&gt;&lt;DisplayText&gt;&lt;style face="superscript"&gt;[8]&lt;/style&gt;&lt;/DisplayText&gt;&lt;record&gt;&lt;rec-number&gt;26&lt;/rec-number&gt;&lt;foreign-keys&gt;&lt;key app="EN" db-id="vpd02ex942spede959xvt05ns5pw50xas9d9" timestamp="1777287063"&gt;26&lt;/key&gt;&lt;/foreign-keys&gt;&lt;ref-type name="Journal Article"&gt;17&lt;/ref-type&gt;&lt;contributors&gt;&lt;authors&gt;&lt;author&gt;Kroupa, Michal&lt;/author&gt;&lt;author&gt;Tomasova, Kristyna&lt;/author&gt;&lt;author&gt;Kavec, Miriam&lt;/author&gt;&lt;author&gt;Skrobanek, Pavel&lt;/author&gt;&lt;author&gt;Buchler, Tomas&lt;/author&gt;&lt;author&gt;Kumar, Rajiv&lt;/author&gt;&lt;author&gt;Vodickova, Ludmila&lt;/author&gt;&lt;author&gt;Vodicka, Pavel&lt;/author&gt;&lt;/authors&gt;&lt;/contributors&gt;&lt;titles&gt;&lt;title&gt;TElomeric repeat-containing RNA (TERRA): Physiological functions and relevance in cancer&lt;/title&gt;&lt;secondary-title&gt;Frontiers in oncology&lt;/secondary-title&gt;&lt;/titles&gt;&lt;periodical&gt;&lt;full-title&gt;Frontiers in oncology&lt;/full-title&gt;&lt;/periodical&gt;&lt;pages&gt;913314&lt;/pages&gt;&lt;volume&gt;12&lt;/volume&gt;&lt;dates&gt;&lt;year&gt;2022&lt;/year&gt;&lt;/dates&gt;&lt;isbn&gt;2234-943X&lt;/isbn&gt;&lt;urls&gt;&lt;/urls&gt;&lt;/record&gt;&lt;/Cite&gt;&lt;/EndNote&gt;</w:instrText>
      </w:r>
      <w:r>
        <w:rPr>
          <w:rFonts w:ascii="Times New Roman" w:cs="Times New Roman" w:hAnsi="Times New Roman"/>
        </w:rPr>
        <w:fldChar w:fldCharType="separate"/>
      </w:r>
      <w:r>
        <w:rPr>
          <w:rFonts w:ascii="Times New Roman" w:cs="Times New Roman" w:hAnsi="Times New Roman"/>
          <w:noProof/>
          <w:vertAlign w:val="superscript"/>
        </w:rPr>
        <w:t>[8]</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Safety Profile</w:t>
      </w:r>
    </w:p>
    <w:p>
      <w:pPr>
        <w:pStyle w:val="style0"/>
        <w:bidi w:val="false"/>
        <w:spacing w:after="0" w:lineRule="auto" w:line="360"/>
        <w:jc w:val="both"/>
        <w:rPr>
          <w:rFonts w:ascii="Times New Roman" w:cs="Times New Roman" w:hAnsi="Times New Roman"/>
        </w:rPr>
      </w:pPr>
      <w:r>
        <w:rPr>
          <w:rFonts w:ascii="Times New Roman" w:cs="Times New Roman" w:hAnsi="Times New Roman"/>
        </w:rPr>
        <w:t>Adverse Effects and Clinical Tolerability</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Across all included studies involving </w:t>
      </w:r>
      <w:r>
        <w:rPr>
          <w:rFonts w:ascii="Times New Roman" w:cs="Times New Roman" w:hAnsi="Times New Roman"/>
        </w:rPr>
        <w:t>cases</w:t>
      </w:r>
      <w:r>
        <w:rPr>
          <w:rFonts w:ascii="Times New Roman" w:cs="Times New Roman" w:hAnsi="Times New Roman"/>
        </w:rPr>
        <w:t xml:space="preserve"> </w:t>
      </w:r>
      <w:r>
        <w:rPr>
          <w:rFonts w:ascii="Times New Roman" w:cs="Times New Roman" w:hAnsi="Times New Roman"/>
        </w:rPr>
        <w:t>had</w:t>
      </w:r>
      <w:r>
        <w:rPr>
          <w:rFonts w:ascii="Times New Roman" w:cs="Times New Roman" w:hAnsi="Times New Roman"/>
        </w:rPr>
        <w:t xml:space="preserve"> </w:t>
      </w:r>
      <w:r>
        <w:rPr>
          <w:rFonts w:ascii="Times New Roman" w:cs="Times New Roman" w:hAnsi="Times New Roman"/>
        </w:rPr>
        <w:t>CLD</w:t>
      </w:r>
      <w:r>
        <w:rPr>
          <w:rFonts w:ascii="Times New Roman" w:cs="Times New Roman" w:hAnsi="Times New Roman"/>
        </w:rPr>
        <w:t xml:space="preserve"> and </w:t>
      </w:r>
      <w:r>
        <w:rPr>
          <w:rFonts w:ascii="Times New Roman" w:cs="Times New Roman" w:hAnsi="Times New Roman"/>
        </w:rPr>
        <w:t>HCC</w:t>
      </w:r>
      <w:r>
        <w:rPr>
          <w:rFonts w:ascii="Times New Roman" w:cs="Times New Roman" w:hAnsi="Times New Roman"/>
        </w:rPr>
        <w:t xml:space="preserve">, the assessment of molecular biomarkers, including </w:t>
      </w:r>
      <w:r>
        <w:rPr>
          <w:rFonts w:ascii="Times New Roman" w:cs="Times New Roman" w:hAnsi="Times New Roman"/>
        </w:rPr>
        <w:t xml:space="preserve">TERRA, </w:t>
      </w:r>
      <w:r>
        <w:rPr>
          <w:rFonts w:ascii="Times New Roman" w:cs="Times New Roman" w:hAnsi="Times New Roman"/>
        </w:rPr>
        <w:t>telomerase-related components such as TERT and TERC, and selected circulating microRNAs, was feasible and not associated with clinically significant risk. Evaluation of these biomarkers was primarily based on peripheral blood sampling or analysis of tissue specimens obtained during routine diagnostic procedures, without the need for additional invasive interventions specifically for biomarker assessment</w:t>
      </w:r>
      <w:r>
        <w:rPr>
          <w:rFonts w:ascii="Consolas" w:hAnsi="Consolas"/>
          <w:color w:val="1b1b1b"/>
          <w:shd w:val="clear" w:color="auto" w:fill="ffffff"/>
        </w:rPr>
        <w:t xml:space="preserve"> </w:t>
      </w:r>
      <w:r>
        <w:rPr>
          <w:rFonts w:ascii="Times New Roman" w:cs="Times New Roman" w:hAnsi="Times New Roman"/>
          <w:vertAlign w:val="superscript"/>
        </w:rPr>
        <w:fldChar w:fldCharType="begin"/>
      </w:r>
      <w:r>
        <w:rPr>
          <w:rFonts w:ascii="Times New Roman" w:cs="Times New Roman" w:hAnsi="Times New Roman"/>
          <w:vertAlign w:val="superscript"/>
        </w:rPr>
        <w:instrText xml:space="preserve"> ADDIN EN.CITE </w:instrText>
      </w:r>
      <w:r>
        <w:rPr>
          <w:rFonts w:ascii="Times New Roman" w:cs="Times New Roman" w:hAnsi="Times New Roman"/>
          <w:vertAlign w:val="superscript"/>
        </w:rPr>
        <w:fldChar w:fldCharType="begin"/>
      </w:r>
      <w:r>
        <w:rPr>
          <w:rFonts w:ascii="Times New Roman" w:cs="Times New Roman" w:hAnsi="Times New Roman"/>
          <w:vertAlign w:val="superscript"/>
        </w:rPr>
        <w:instrText xml:space="preserve"> ADDIN EN.CITE.DATA </w:instrText>
      </w:r>
      <w:r>
        <w:rPr>
          <w:rFonts w:ascii="Times New Roman" w:cs="Times New Roman" w:hAnsi="Times New Roman"/>
          <w:vertAlign w:val="superscript"/>
        </w:rPr>
        <w:fldChar w:fldCharType="end"/>
      </w:r>
      <w:r>
        <w:rPr>
          <w:rFonts w:ascii="Times New Roman" w:cs="Times New Roman" w:hAnsi="Times New Roman"/>
          <w:vertAlign w:val="superscript"/>
        </w:rPr>
        <w:fldChar w:fldCharType="separate"/>
      </w:r>
      <w:r>
        <w:rPr>
          <w:rFonts w:ascii="Times New Roman" w:cs="Times New Roman" w:hAnsi="Times New Roman"/>
          <w:vertAlign w:val="superscript"/>
        </w:rPr>
        <w:t>[15]</w:t>
      </w:r>
      <w:r>
        <w:rPr>
          <w:rFonts w:ascii="Times New Roman" w:cs="Times New Roman" w:hAnsi="Times New Roman"/>
          <w:vertAlign w:val="superscript"/>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Reported adverse effects were minimal and generally limited to transient discomfort related to venipuncture, such as mild local pain or short-lived anxiety. No systemic adverse events, procedure-related complications, or safety concerns attributable to molecular biomarker evaluation were reported in the included studies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[16]</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Clinical Monitoring and Indirect Risk Considerations</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Although the assessment of </w:t>
      </w:r>
      <w:r>
        <w:rPr>
          <w:rFonts w:ascii="Times New Roman" w:cs="Times New Roman" w:hAnsi="Times New Roman"/>
        </w:rPr>
        <w:t xml:space="preserve">TERRA </w:t>
      </w:r>
      <w:r>
        <w:rPr>
          <w:rFonts w:ascii="Times New Roman" w:cs="Times New Roman" w:hAnsi="Times New Roman"/>
        </w:rPr>
        <w:t xml:space="preserve">expression was not associated with direct clinical risk, patients included in the reviewed studies commonly had advanced </w:t>
      </w:r>
      <w:r>
        <w:rPr>
          <w:rFonts w:ascii="Times New Roman" w:cs="Times New Roman" w:hAnsi="Times New Roman"/>
        </w:rPr>
        <w:t>CLD</w:t>
      </w:r>
      <w:r>
        <w:rPr>
          <w:rFonts w:ascii="Times New Roman" w:cs="Times New Roman" w:hAnsi="Times New Roman"/>
        </w:rPr>
        <w:t xml:space="preserve"> and were therefore subject to substantial systemic and oncogenic burden. Similar considerations apply to the evaluation of other molecular biomarkers investigated in </w:t>
      </w:r>
      <w:r>
        <w:rPr>
          <w:rFonts w:ascii="Times New Roman" w:cs="Times New Roman" w:hAnsi="Times New Roman"/>
        </w:rPr>
        <w:t>HCC</w:t>
      </w:r>
      <w:r>
        <w:rPr>
          <w:rFonts w:ascii="Times New Roman" w:cs="Times New Roman" w:hAnsi="Times New Roman"/>
        </w:rPr>
        <w:t>, including telomerase-related components such as TERT and TERC as well as selected circulating microRNAs</w:t>
      </w:r>
      <w:r>
        <w:rPr>
          <w:rFonts w:ascii="Times New Roman" w:cs="Times New Roman" w:hAnsi="Times New Roman"/>
          <w:rtl/>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In this context, the reviewed evidence underscores the importance of comprehensive clinical follow-up, including regular assessment of liver function, tumor stage, and disease progression according to established </w:t>
      </w:r>
      <w:r>
        <w:rPr>
          <w:rFonts w:ascii="Times New Roman" w:cs="Times New Roman" w:hAnsi="Times New Roman"/>
        </w:rPr>
        <w:t xml:space="preserve">HCC </w:t>
      </w:r>
      <w:r>
        <w:rPr>
          <w:rFonts w:ascii="Times New Roman" w:cs="Times New Roman" w:hAnsi="Times New Roman"/>
        </w:rPr>
        <w:t>management guidelines. Molecular biomarkers such as TERRA and related telomere-associated molecules may serve as complementary indicators reflecting tumor biology and disease activity</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[17]</w:t>
      </w:r>
      <w:r>
        <w:rPr>
          <w:rFonts w:ascii="Times New Roman" w:cs="Times New Roman" w:hAnsi="Times New Roman"/>
        </w:rPr>
        <w:fldChar w:fldCharType="end"/>
      </w:r>
      <w:r>
        <w:rPr>
          <w:rFonts w:ascii="Times New Roman" w:cs="Times New Roman" w:hAnsi="Times New Roman"/>
        </w:rPr>
        <w:t>.</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Discussion</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The present systematic review examined the relationship between TERRA and disease activity in HCC. Clinical and translational studies consistently demonstrated that dysregulation of TERRA, particularly reduced expression levels, </w:t>
      </w:r>
      <w:r>
        <w:rPr>
          <w:rFonts w:ascii="Times New Roman" w:cs="Times New Roman" w:hAnsi="Times New Roman"/>
        </w:rPr>
        <w:t>and is</w:t>
      </w:r>
      <w:r>
        <w:rPr>
          <w:rFonts w:ascii="Times New Roman" w:cs="Times New Roman" w:hAnsi="Times New Roman"/>
        </w:rPr>
        <w:t xml:space="preserve"> associated with more aggressive tumor characteristics and adverse prognostic features in HCC. Evidence indicates that altered TERRA expression correlates with increased telomerase activity, telomere length dysregulation, tumor progression, and metastatic potential, highlighting its close association with malignant disease activity </w:t>
      </w:r>
      <w:r>
        <w:rPr>
          <w:rFonts w:ascii="Times New Roman" w:cs="Times New Roman" w:hAnsi="Times New Roman"/>
          <w:vertAlign w:val="superscript"/>
        </w:rPr>
        <w:t xml:space="preserve"> </w:t>
      </w:r>
      <w:r>
        <w:rPr>
          <w:rFonts w:ascii="Times New Roman" w:cs="Times New Roman" w:hAnsi="Times New Roman"/>
          <w:vertAlign w:val="superscript"/>
        </w:rPr>
        <w:fldChar w:fldCharType="begin"/>
      </w:r>
      <w:r>
        <w:rPr>
          <w:rFonts w:ascii="Times New Roman" w:cs="Times New Roman" w:hAnsi="Times New Roman"/>
          <w:vertAlign w:val="superscript"/>
        </w:rPr>
        <w:instrText xml:space="preserve"> ADDIN EN.CITE </w:instrText>
      </w:r>
      <w:r>
        <w:rPr>
          <w:rFonts w:ascii="Times New Roman" w:cs="Times New Roman" w:hAnsi="Times New Roman"/>
          <w:vertAlign w:val="superscript"/>
        </w:rPr>
        <w:fldChar w:fldCharType="begin"/>
      </w:r>
      <w:r>
        <w:rPr>
          <w:rFonts w:ascii="Times New Roman" w:cs="Times New Roman" w:hAnsi="Times New Roman"/>
          <w:vertAlign w:val="superscript"/>
        </w:rPr>
        <w:instrText xml:space="preserve"> ADDIN EN.CITE.DATA </w:instrText>
      </w:r>
      <w:r>
        <w:rPr>
          <w:rFonts w:ascii="Times New Roman" w:cs="Times New Roman" w:hAnsi="Times New Roman"/>
          <w:vertAlign w:val="superscript"/>
        </w:rPr>
        <w:fldChar w:fldCharType="end"/>
      </w:r>
      <w:r>
        <w:rPr>
          <w:rFonts w:ascii="Times New Roman" w:cs="Times New Roman" w:hAnsi="Times New Roman"/>
          <w:vertAlign w:val="superscript"/>
        </w:rPr>
        <w:fldChar w:fldCharType="separate"/>
      </w:r>
      <w:r>
        <w:rPr>
          <w:rFonts w:ascii="Times New Roman" w:cs="Times New Roman" w:hAnsi="Times New Roman"/>
          <w:noProof/>
          <w:vertAlign w:val="superscript"/>
        </w:rPr>
        <w:t>[13, 18]</w:t>
      </w:r>
      <w:r>
        <w:rPr>
          <w:rFonts w:ascii="Times New Roman" w:cs="Times New Roman" w:hAnsi="Times New Roman"/>
          <w:vertAlign w:val="superscript"/>
        </w:rPr>
        <w:fldChar w:fldCharType="end"/>
      </w:r>
      <w:r>
        <w:rPr>
          <w:rFonts w:ascii="Times New Roman" w:cs="Times New Roman" w:hAnsi="Times New Roman"/>
          <w:vertAlign w:val="superscript"/>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In addition to TERRA, other molecular biomarkers involved in hepatocarcinogenesis have also been reported to show significant associations with tumor behavior and disease progression. Telomerase-related components, including TERT and TERC, as well as circulating </w:t>
      </w:r>
      <w:r>
        <w:rPr>
          <w:rFonts w:ascii="Times New Roman" w:cs="Times New Roman" w:hAnsi="Times New Roman"/>
        </w:rPr>
        <w:t>microRNAs, have been linked to cellular proliferation, genomic instability, and oncogenic signaling pathways in HCC</w:t>
      </w:r>
      <w:r>
        <w:rPr>
          <w:rFonts w:ascii="Times New Roman" w:cs="Times New Roman" w:hAnsi="Times New Roman"/>
          <w:vertAlign w:val="superscript"/>
        </w:rPr>
        <w:t xml:space="preserve"> </w:t>
      </w:r>
      <w:r>
        <w:rPr>
          <w:rFonts w:ascii="Times New Roman" w:cs="Times New Roman" w:hAnsi="Times New Roman"/>
        </w:rPr>
        <w:t>.</w:t>
      </w:r>
      <w:r>
        <w:rPr>
          <w:rFonts w:ascii="Times New Roman" w:cs="Times New Roman" w:hAnsi="Times New Roman"/>
        </w:rPr>
        <w:t xml:space="preserve"> </w:t>
      </w:r>
      <w:r>
        <w:rPr>
          <w:rFonts w:ascii="Times New Roman" w:cs="Times New Roman" w:hAnsi="Times New Roman"/>
        </w:rPr>
        <w:t>The combined assessment of these biomarkers may provide a more comprehensive understanding of the molecular mechanisms underlying HCC development</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[13, 14]</w:t>
      </w:r>
      <w:r>
        <w:rPr>
          <w:rFonts w:ascii="Times New Roman" w:cs="Times New Roman" w:hAnsi="Times New Roman"/>
        </w:rPr>
        <w:fldChar w:fldCharType="end"/>
      </w:r>
      <w:r>
        <w:rPr>
          <w:rFonts w:ascii="Times New Roman" w:cs="Times New Roman" w:hAnsi="Times New Roman"/>
          <w:vertAlign w:val="superscript"/>
        </w:rPr>
        <w:t xml:space="preserve"> </w:t>
      </w:r>
      <w:r>
        <w:rPr>
          <w:rFonts w:ascii="Times New Roman" w:cs="Times New Roman" w:hAnsi="Times New Roman"/>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Importantly, these associations appear to reflect intrinsic tumor biology rather than being solely secondary to liver dysfunction or systemic metabolic disturbances.</w:t>
      </w:r>
    </w:p>
    <w:p>
      <w:pPr>
        <w:pStyle w:val="style0"/>
        <w:bidi w:val="false"/>
        <w:spacing w:after="0" w:lineRule="auto" w:line="360"/>
        <w:jc w:val="both"/>
        <w:rPr>
          <w:rFonts w:ascii="Times New Roman" w:cs="Times New Roman" w:hAnsi="Times New Roman"/>
        </w:rPr>
      </w:pPr>
      <w:r>
        <w:rPr>
          <w:rFonts w:ascii="Times New Roman" w:cs="Times New Roman" w:hAnsi="Times New Roman"/>
        </w:rPr>
        <w:t>It is evident from this review that TERRA expression is consistently dysregulated in HCC patients compared to cirrhotic individuals and healthy controls. Lower TERRA levels are associated with increased tumor aggressiveness, enhanced telomerase activity, and poorer clinical outcomes</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[13, 14]</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vertAlign w:val="superscript"/>
        </w:rPr>
        <w:t xml:space="preserve"> </w:t>
      </w:r>
      <w:r>
        <w:rPr>
          <w:rFonts w:ascii="Times New Roman" w:cs="Times New Roman" w:hAnsi="Times New Roman"/>
          <w:vertAlign w:val="superscript"/>
        </w:rPr>
        <w:t>.</w:t>
      </w:r>
      <w:r>
        <w:rPr>
          <w:rFonts w:ascii="Times New Roman" w:cs="Times New Roman" w:hAnsi="Times New Roman"/>
        </w:rPr>
        <w:t xml:space="preserve"> Similarly, other biomarkers such as TERT, TERC, and selected microRNAs demonstrate altered expression patterns and contribute to tumor progression and disease severity</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[9, 13]</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vertAlign w:val="superscript"/>
        </w:rPr>
        <w:t>.</w:t>
      </w:r>
    </w:p>
    <w:p>
      <w:pPr>
        <w:pStyle w:val="style0"/>
        <w:bidi w:val="false"/>
        <w:spacing w:after="0" w:lineRule="auto" w:line="360"/>
        <w:jc w:val="both"/>
        <w:rPr>
          <w:rFonts w:ascii="Times New Roman" w:cs="Times New Roman" w:hAnsi="Times New Roman"/>
        </w:rPr>
      </w:pPr>
      <w:r>
        <w:rPr>
          <w:rFonts w:ascii="Times New Roman" w:cs="Times New Roman" w:hAnsi="Times New Roman"/>
        </w:rPr>
        <w:t xml:space="preserve">Despite variability among studies, a consistent pattern emerges linking greater molecular dysregulation, particularly reduced TERRA expression, with increased tumor burden and biological aggressiveness </w:t>
      </w:r>
      <w:r>
        <w:rPr>
          <w:rFonts w:ascii="Times New Roman" w:cs="Times New Roman" w:hAnsi="Times New Roman"/>
        </w:rPr>
        <w:fldChar w:fldCharType="begin"/>
      </w:r>
      <w:r>
        <w:rPr>
          <w:rFonts w:ascii="Times New Roman" w:cs="Times New Roman" w:hAnsi="Times New Roman"/>
        </w:rPr>
        <w:instrText xml:space="preserve"> ADDIN EN.CITE </w:instrText>
      </w:r>
      <w:r>
        <w:rPr>
          <w:rFonts w:ascii="Times New Roman" w:cs="Times New Roman" w:hAnsi="Times New Roman"/>
        </w:rPr>
        <w:fldChar w:fldCharType="begin"/>
      </w:r>
      <w:r>
        <w:rPr>
          <w:rFonts w:ascii="Times New Roman" w:cs="Times New Roman" w:hAnsi="Times New Roman"/>
        </w:rPr>
        <w:instrText xml:space="preserve"> ADDIN EN.CITE.DATA </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noProof/>
          <w:vertAlign w:val="superscript"/>
        </w:rPr>
        <w:t>[13, 14]</w:t>
      </w:r>
      <w:r>
        <w:rPr>
          <w:rFonts w:ascii="Times New Roman" w:cs="Times New Roman" w:hAnsi="Times New Roman"/>
        </w:rPr>
        <w:fldChar w:fldCharType="end"/>
      </w:r>
      <w:r>
        <w:rPr>
          <w:rFonts w:ascii="Times New Roman" w:cs="Times New Roman" w:hAnsi="Times New Roman"/>
          <w:vertAlign w:val="superscript"/>
        </w:rPr>
        <w:t>.</w:t>
      </w:r>
      <w:r>
        <w:rPr>
          <w:rFonts w:ascii="Times New Roman" w:cs="Times New Roman" w:hAnsi="Times New Roman"/>
        </w:rPr>
        <w:t xml:space="preserve"> These findings support the potential utility of TERRA and related molecular biomarkers as non-invasive indicators of disease activity and progression in HCC.</w:t>
      </w:r>
    </w:p>
    <w:p>
      <w:pPr>
        <w:pStyle w:val="style0"/>
        <w:bidi w:val="false"/>
        <w:spacing w:after="0" w:lineRule="auto" w:line="360"/>
        <w:jc w:val="both"/>
        <w:rPr>
          <w:rFonts w:ascii="Times New Roman" w:cs="Times New Roman" w:hAnsi="Times New Roman"/>
          <w:b/>
          <w:bCs/>
        </w:rPr>
      </w:pPr>
      <w:r>
        <w:rPr>
          <w:rFonts w:ascii="Times New Roman" w:cs="Times New Roman" w:hAnsi="Times New Roman"/>
          <w:b/>
          <w:bCs/>
        </w:rPr>
        <w:t>Conclusion</w:t>
      </w:r>
    </w:p>
    <w:p>
      <w:pPr>
        <w:pStyle w:val="style0"/>
        <w:bidi w:val="false"/>
        <w:spacing w:after="0" w:lineRule="auto" w:line="360"/>
        <w:rPr>
          <w:rFonts w:ascii="Times New Roman" w:cs="Times New Roman" w:hAnsi="Times New Roman"/>
        </w:rPr>
      </w:pPr>
      <w:r>
        <w:rPr>
          <w:rFonts w:ascii="Times New Roman" w:cs="Times New Roman" w:hAnsi="Times New Roman"/>
        </w:rPr>
        <w:t>Dysregulated TERRA expression, particularly downregulation, is associated with tumor progression and poor prognostic features. Together with TERT, TERC, and selected circulating microRNAs, TERRA may serve as a promising non-invasive biomarker for assessing disease activity and biological aggressiveness in HCC.</w:t>
      </w:r>
    </w:p>
    <w:p>
      <w:pPr>
        <w:pStyle w:val="style0"/>
        <w:bidi w:val="false"/>
        <w:spacing w:after="0" w:lineRule="auto" w:line="360"/>
        <w:rPr>
          <w:rFonts w:ascii="Times New Roman" w:cs="Times New Roman" w:hAnsi="Times New Roman"/>
        </w:rPr>
      </w:pPr>
      <w:r>
        <w:rPr>
          <w:rFonts w:ascii="Times New Roman" w:cs="Times New Roman" w:hAnsi="Times New Roman"/>
        </w:rPr>
        <w:t xml:space="preserve"> However, larger well-designed longitudinal studies are needed to validate its diagnostic and prognostic value.</w:t>
      </w:r>
    </w:p>
    <w:p>
      <w:pPr>
        <w:pStyle w:val="style0"/>
        <w:bidi w:val="false"/>
        <w:spacing w:after="0" w:lineRule="auto" w:line="360"/>
        <w:rPr>
          <w:rFonts w:ascii="Times New Roman" w:cs="Times New Roman" w:hAnsi="Times New Roman"/>
          <w:b/>
          <w:bCs/>
        </w:rPr>
      </w:pPr>
      <w:r>
        <w:rPr>
          <w:rFonts w:ascii="Times New Roman" w:cs="Times New Roman" w:hAnsi="Times New Roman"/>
          <w:b/>
          <w:bCs/>
        </w:rPr>
        <w:t>Conflict of Interest</w:t>
      </w:r>
    </w:p>
    <w:p>
      <w:pPr>
        <w:pStyle w:val="style0"/>
        <w:bidi w:val="false"/>
        <w:spacing w:after="0" w:lineRule="auto" w:line="360"/>
        <w:rPr>
          <w:rFonts w:ascii="Times New Roman" w:cs="Times New Roman" w:hAnsi="Times New Roman"/>
        </w:rPr>
      </w:pPr>
      <w:r>
        <w:rPr>
          <w:rFonts w:ascii="Times New Roman" w:cs="Times New Roman" w:hAnsi="Times New Roman"/>
        </w:rPr>
        <w:t>The authors declare that they have no conflict of interest related to this work</w:t>
      </w:r>
      <w:r>
        <w:rPr>
          <w:rFonts w:ascii="Times New Roman" w:cs="Times New Roman" w:hAnsi="Times New Roman"/>
          <w:rtl/>
        </w:rPr>
        <w:t>.</w:t>
      </w:r>
    </w:p>
    <w:p>
      <w:pPr>
        <w:pStyle w:val="style0"/>
        <w:bidi w:val="false"/>
        <w:spacing w:after="0" w:lineRule="auto" w:line="360"/>
        <w:rPr>
          <w:rFonts w:ascii="Times New Roman" w:cs="Times New Roman" w:hAnsi="Times New Roman"/>
          <w:b/>
          <w:bCs/>
        </w:rPr>
      </w:pPr>
      <w:r>
        <w:rPr>
          <w:rFonts w:ascii="Times New Roman" w:cs="Times New Roman" w:hAnsi="Times New Roman"/>
          <w:b/>
          <w:bCs/>
        </w:rPr>
        <w:t>Funding</w:t>
      </w:r>
    </w:p>
    <w:p>
      <w:pPr>
        <w:pStyle w:val="style0"/>
        <w:bidi w:val="false"/>
        <w:spacing w:after="0" w:lineRule="auto" w:line="360"/>
        <w:jc w:val="both"/>
        <w:rPr>
          <w:rFonts w:ascii="Times New Roman" w:cs="Times New Roman" w:hAnsi="Times New Roman"/>
        </w:rPr>
      </w:pPr>
      <w:r>
        <w:rPr>
          <w:rFonts w:ascii="Times New Roman" w:cs="Times New Roman" w:hAnsi="Times New Roman"/>
        </w:rPr>
        <w:t>This research received no specific grant from any funding agency in the public, commercial, or not-for-profit sectors.</w:t>
      </w:r>
    </w:p>
    <w:p>
      <w:pPr>
        <w:pStyle w:val="style0"/>
        <w:bidi w:val="false"/>
        <w:spacing w:after="0" w:lineRule="auto" w:line="240"/>
        <w:rPr>
          <w:rFonts w:ascii="Times New Roman" w:cs="Times New Roman" w:hAnsi="Times New Roman"/>
          <w:b/>
          <w:bCs/>
        </w:rPr>
      </w:pPr>
      <w:r>
        <w:rPr>
          <w:rFonts w:ascii="Times New Roman" w:cs="Times New Roman" w:hAnsi="Times New Roman"/>
          <w:b/>
          <w:bCs/>
        </w:rPr>
        <w:br w:type="page"/>
      </w:r>
    </w:p>
    <w:p>
      <w:pPr>
        <w:pStyle w:val="style4112"/>
        <w:bidi w:val="false"/>
        <w:spacing w:after="0" w:lineRule="auto" w:line="360"/>
        <w:rPr>
          <w:rFonts w:ascii="Times New Roman" w:cs="Times New Roman" w:hAnsi="Times New Roman"/>
          <w:b/>
          <w:bCs/>
          <w:rtl/>
        </w:rPr>
      </w:pPr>
      <w:r>
        <w:rPr>
          <w:rFonts w:ascii="Times New Roman" w:cs="Times New Roman" w:hAnsi="Times New Roman"/>
          <w:b/>
          <w:bCs/>
        </w:rPr>
        <w:t>References</w:t>
      </w:r>
    </w:p>
    <w:p>
      <w:pPr>
        <w:pStyle w:val="style4112"/>
        <w:bidi w:val="false"/>
        <w:spacing w:after="0" w:lineRule="auto" w:line="276"/>
        <w:rPr>
          <w:rFonts w:ascii="Times New Roman" w:cs="Times New Roman" w:hAnsi="Times New Roman"/>
          <w:noProof/>
        </w:rPr>
      </w:pPr>
      <w:r>
        <w:rPr>
          <w:rFonts w:ascii="Times New Roman" w:cs="Times New Roman" w:hAnsi="Times New Roman"/>
        </w:rPr>
        <w:fldChar w:fldCharType="begin"/>
      </w:r>
      <w:r>
        <w:rPr>
          <w:rFonts w:ascii="Times New Roman" w:cs="Times New Roman" w:hAnsi="Times New Roman"/>
        </w:rPr>
        <w:instrText xml:space="preserve"> ADDIN EN.REFLIST </w:instrText>
      </w:r>
      <w:r>
        <w:rPr>
          <w:rFonts w:ascii="Times New Roman" w:cs="Times New Roman" w:hAnsi="Times New Roman"/>
        </w:rPr>
        <w:fldChar w:fldCharType="separate"/>
      </w:r>
      <w:r>
        <w:rPr>
          <w:rFonts w:ascii="Times New Roman" w:cs="Times New Roman" w:hAnsi="Times New Roman"/>
          <w:noProof/>
        </w:rPr>
        <w:t>1. Devarbhavi H, Asrani SK, Arab JP, Nartey YA, Pose E</w:t>
      </w:r>
      <w:r>
        <w:rPr>
          <w:rFonts w:ascii="Times New Roman" w:cs="Times New Roman" w:hAnsi="Times New Roman"/>
          <w:noProof/>
        </w:rPr>
        <w:t xml:space="preserve"> and</w:t>
      </w:r>
      <w:r>
        <w:rPr>
          <w:rFonts w:ascii="Times New Roman" w:cs="Times New Roman" w:hAnsi="Times New Roman"/>
          <w:noProof/>
        </w:rPr>
        <w:t xml:space="preserve"> Kamath PS.</w:t>
      </w:r>
      <w:r>
        <w:t xml:space="preserve"> </w:t>
      </w:r>
      <w:r>
        <w:rPr>
          <w:rFonts w:ascii="Times New Roman" w:cs="Times New Roman" w:hAnsi="Times New Roman"/>
          <w:noProof/>
        </w:rPr>
        <w:t>(2023)</w:t>
      </w:r>
      <w:r>
        <w:rPr>
          <w:rFonts w:ascii="Times New Roman" w:cs="Times New Roman" w:hAnsi="Times New Roman"/>
          <w:noProof/>
        </w:rPr>
        <w:t>:</w:t>
      </w:r>
      <w:r>
        <w:rPr>
          <w:rFonts w:ascii="Times New Roman" w:cs="Times New Roman" w:hAnsi="Times New Roman"/>
          <w:noProof/>
        </w:rPr>
        <w:t xml:space="preserve"> Global burden of liver disease: 2023 update. Journal of hepatology</w:t>
      </w:r>
      <w:r>
        <w:rPr>
          <w:rFonts w:ascii="Times New Roman" w:cs="Times New Roman" w:hAnsi="Times New Roman"/>
          <w:noProof/>
        </w:rPr>
        <w:t>;</w:t>
      </w:r>
      <w:r>
        <w:rPr>
          <w:rFonts w:ascii="Times New Roman" w:cs="Times New Roman" w:hAnsi="Times New Roman"/>
          <w:noProof/>
        </w:rPr>
        <w:t xml:space="preserve"> 79(2)</w:t>
      </w:r>
      <w:r>
        <w:rPr>
          <w:rFonts w:ascii="Times New Roman" w:cs="Times New Roman" w:hAnsi="Times New Roman"/>
          <w:noProof/>
        </w:rPr>
        <w:t>:</w:t>
      </w:r>
      <w:r>
        <w:rPr>
          <w:rFonts w:ascii="Times New Roman" w:cs="Times New Roman" w:hAnsi="Times New Roman"/>
          <w:noProof/>
        </w:rPr>
        <w:t xml:space="preserve"> 516-537</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 xml:space="preserve">2. Akinyemiju T, Abera S, Ahmed M, Alam N, Alemayohu MA, Allen C, et al. </w:t>
      </w:r>
      <w:r>
        <w:rPr>
          <w:rFonts w:ascii="Times New Roman" w:cs="Times New Roman" w:hAnsi="Times New Roman"/>
          <w:noProof/>
        </w:rPr>
        <w:t>(2017)</w:t>
      </w:r>
      <w:r>
        <w:rPr>
          <w:rFonts w:ascii="Times New Roman" w:cs="Times New Roman" w:hAnsi="Times New Roman"/>
          <w:noProof/>
        </w:rPr>
        <w:t>:</w:t>
      </w:r>
      <w:r>
        <w:rPr>
          <w:rFonts w:ascii="Times New Roman" w:cs="Times New Roman" w:hAnsi="Times New Roman"/>
          <w:noProof/>
        </w:rPr>
        <w:t xml:space="preserve"> The burden of primary liver cancer and underlying etiologies from 1990 to 2015 at the global, regional, and national level: results from the global burden of disease study 2015. JAMA oncology</w:t>
      </w:r>
      <w:r>
        <w:rPr>
          <w:rFonts w:ascii="Times New Roman" w:cs="Times New Roman" w:hAnsi="Times New Roman"/>
          <w:noProof/>
        </w:rPr>
        <w:t>;</w:t>
      </w:r>
      <w:r>
        <w:rPr>
          <w:rFonts w:ascii="Times New Roman" w:cs="Times New Roman" w:hAnsi="Times New Roman"/>
          <w:noProof/>
        </w:rPr>
        <w:t xml:space="preserve"> 3(12)</w:t>
      </w:r>
      <w:r>
        <w:rPr>
          <w:rFonts w:ascii="Times New Roman" w:cs="Times New Roman" w:hAnsi="Times New Roman"/>
          <w:noProof/>
        </w:rPr>
        <w:t>:</w:t>
      </w:r>
      <w:r>
        <w:rPr>
          <w:rFonts w:ascii="Times New Roman" w:cs="Times New Roman" w:hAnsi="Times New Roman"/>
          <w:noProof/>
        </w:rPr>
        <w:t xml:space="preserve"> 1683-1691</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 xml:space="preserve">3. Elalfy H, Besheer T, El-Maksoud MA, Farid K, Elegezy M, El Nakib AM, et al. </w:t>
      </w:r>
      <w:r>
        <w:rPr>
          <w:rFonts w:ascii="Times New Roman" w:cs="Times New Roman" w:hAnsi="Times New Roman"/>
          <w:noProof/>
        </w:rPr>
        <w:t>(2018)</w:t>
      </w:r>
      <w:r>
        <w:rPr>
          <w:rFonts w:ascii="Times New Roman" w:cs="Times New Roman" w:hAnsi="Times New Roman"/>
          <w:noProof/>
        </w:rPr>
        <w:t>:</w:t>
      </w:r>
      <w:r>
        <w:rPr>
          <w:rFonts w:ascii="Times New Roman" w:cs="Times New Roman" w:hAnsi="Times New Roman"/>
          <w:noProof/>
        </w:rPr>
        <w:t xml:space="preserve"> Monocyte/granulocyte to lymphocyte ratio and the MELD score as predictors for early recurrence of hepatocellular carcinoma after trans-arterial chemoembolization. British journal of biomedical science</w:t>
      </w:r>
      <w:r>
        <w:rPr>
          <w:rFonts w:ascii="Times New Roman" w:cs="Times New Roman" w:hAnsi="Times New Roman"/>
          <w:noProof/>
        </w:rPr>
        <w:t>;</w:t>
      </w:r>
      <w:r>
        <w:rPr>
          <w:rFonts w:ascii="Times New Roman" w:cs="Times New Roman" w:hAnsi="Times New Roman"/>
          <w:noProof/>
        </w:rPr>
        <w:t xml:space="preserve"> 75(4)</w:t>
      </w:r>
      <w:r>
        <w:rPr>
          <w:rFonts w:ascii="Times New Roman" w:cs="Times New Roman" w:hAnsi="Times New Roman"/>
          <w:noProof/>
        </w:rPr>
        <w:t>:</w:t>
      </w:r>
      <w:r>
        <w:rPr>
          <w:rFonts w:ascii="Times New Roman" w:cs="Times New Roman" w:hAnsi="Times New Roman"/>
          <w:noProof/>
        </w:rPr>
        <w:t xml:space="preserve"> 187-191</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 xml:space="preserve">4. Elbaz T, Waked I, El-Akel W, Shaker MK, Abdelaziz AO, Yousif M, et al. </w:t>
      </w:r>
      <w:r>
        <w:rPr>
          <w:rFonts w:ascii="Times New Roman" w:cs="Times New Roman" w:hAnsi="Times New Roman"/>
          <w:noProof/>
        </w:rPr>
        <w:t>(2022)</w:t>
      </w:r>
      <w:r>
        <w:rPr>
          <w:rFonts w:ascii="Times New Roman" w:cs="Times New Roman" w:hAnsi="Times New Roman"/>
          <w:noProof/>
        </w:rPr>
        <w:t>:</w:t>
      </w:r>
      <w:r>
        <w:rPr>
          <w:rFonts w:ascii="Times New Roman" w:cs="Times New Roman" w:hAnsi="Times New Roman"/>
          <w:noProof/>
        </w:rPr>
        <w:t xml:space="preserve"> Impact of successful HCV treatment using direct acting antivirals on recurrence of well ablated hepatocellular carcinoma. Expert Review of Anti-infective Therapy</w:t>
      </w:r>
      <w:r>
        <w:rPr>
          <w:rFonts w:ascii="Times New Roman" w:cs="Times New Roman" w:hAnsi="Times New Roman"/>
          <w:noProof/>
        </w:rPr>
        <w:t>;</w:t>
      </w:r>
      <w:r>
        <w:rPr>
          <w:rFonts w:ascii="Times New Roman" w:cs="Times New Roman" w:hAnsi="Times New Roman"/>
          <w:noProof/>
        </w:rPr>
        <w:t xml:space="preserve"> 20(2)</w:t>
      </w:r>
      <w:r>
        <w:rPr>
          <w:rFonts w:ascii="Times New Roman" w:cs="Times New Roman" w:hAnsi="Times New Roman"/>
          <w:noProof/>
        </w:rPr>
        <w:t>:</w:t>
      </w:r>
      <w:r>
        <w:rPr>
          <w:rFonts w:ascii="Times New Roman" w:cs="Times New Roman" w:hAnsi="Times New Roman"/>
          <w:noProof/>
        </w:rPr>
        <w:t xml:space="preserve"> 307-314</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5. Nomair A, Madkour M, Shamseya M, El-Sheredy H</w:t>
      </w:r>
      <w:r>
        <w:rPr>
          <w:rFonts w:ascii="Times New Roman" w:cs="Times New Roman" w:hAnsi="Times New Roman"/>
          <w:noProof/>
        </w:rPr>
        <w:t xml:space="preserve"> and</w:t>
      </w:r>
      <w:r>
        <w:rPr>
          <w:rFonts w:ascii="Times New Roman" w:cs="Times New Roman" w:hAnsi="Times New Roman"/>
          <w:noProof/>
        </w:rPr>
        <w:t xml:space="preserve"> Shokr A. </w:t>
      </w:r>
      <w:r>
        <w:rPr>
          <w:rFonts w:ascii="Times New Roman" w:cs="Times New Roman" w:hAnsi="Times New Roman"/>
          <w:noProof/>
        </w:rPr>
        <w:t>(2019)</w:t>
      </w:r>
      <w:r>
        <w:rPr>
          <w:rFonts w:ascii="Times New Roman" w:cs="Times New Roman" w:hAnsi="Times New Roman"/>
          <w:noProof/>
        </w:rPr>
        <w:t>:</w:t>
      </w:r>
      <w:r>
        <w:rPr>
          <w:rFonts w:ascii="Times New Roman" w:cs="Times New Roman" w:hAnsi="Times New Roman"/>
          <w:noProof/>
        </w:rPr>
        <w:t xml:space="preserve"> Profiling of plasma metabolomics in patients with hepatitis C-related liver cirrhosis and hepatocellular carcinoma. Clinical and Experimental Hepatology</w:t>
      </w:r>
      <w:r>
        <w:rPr>
          <w:rFonts w:ascii="Times New Roman" w:cs="Times New Roman" w:hAnsi="Times New Roman"/>
          <w:noProof/>
        </w:rPr>
        <w:t>;</w:t>
      </w:r>
      <w:r>
        <w:rPr>
          <w:rFonts w:ascii="Times New Roman" w:cs="Times New Roman" w:hAnsi="Times New Roman"/>
          <w:noProof/>
        </w:rPr>
        <w:t xml:space="preserve"> 5(4)</w:t>
      </w:r>
      <w:r>
        <w:rPr>
          <w:rFonts w:ascii="Times New Roman" w:cs="Times New Roman" w:hAnsi="Times New Roman"/>
          <w:noProof/>
        </w:rPr>
        <w:t xml:space="preserve">: </w:t>
      </w:r>
      <w:r>
        <w:rPr>
          <w:rFonts w:ascii="Times New Roman" w:cs="Times New Roman" w:hAnsi="Times New Roman"/>
          <w:noProof/>
        </w:rPr>
        <w:t>317-326</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6. El-Bendary M, Nour D, Arafa M</w:t>
      </w:r>
      <w:r>
        <w:rPr>
          <w:rFonts w:ascii="Times New Roman" w:cs="Times New Roman" w:hAnsi="Times New Roman"/>
          <w:noProof/>
        </w:rPr>
        <w:t xml:space="preserve"> and</w:t>
      </w:r>
      <w:r>
        <w:rPr>
          <w:rFonts w:ascii="Times New Roman" w:cs="Times New Roman" w:hAnsi="Times New Roman"/>
          <w:noProof/>
        </w:rPr>
        <w:t xml:space="preserve"> Neamatallah M. </w:t>
      </w:r>
      <w:r>
        <w:rPr>
          <w:rFonts w:ascii="Times New Roman" w:cs="Times New Roman" w:hAnsi="Times New Roman"/>
          <w:noProof/>
        </w:rPr>
        <w:t>(2020)</w:t>
      </w:r>
      <w:r>
        <w:rPr>
          <w:rFonts w:ascii="Times New Roman" w:cs="Times New Roman" w:hAnsi="Times New Roman"/>
          <w:noProof/>
        </w:rPr>
        <w:t>:</w:t>
      </w:r>
      <w:r>
        <w:rPr>
          <w:rFonts w:ascii="Times New Roman" w:cs="Times New Roman" w:hAnsi="Times New Roman"/>
          <w:noProof/>
        </w:rPr>
        <w:t xml:space="preserve"> Methylation of tumour suppressor genes RUNX3, RASSF1A and E-Cadherin in HCV-related liver cirrhosis and hepatocellular carcinoma. British journal of biomedical science</w:t>
      </w:r>
      <w:r>
        <w:rPr>
          <w:rFonts w:ascii="Times New Roman" w:cs="Times New Roman" w:hAnsi="Times New Roman"/>
          <w:noProof/>
        </w:rPr>
        <w:t>;</w:t>
      </w:r>
      <w:r>
        <w:rPr>
          <w:rFonts w:ascii="Times New Roman" w:cs="Times New Roman" w:hAnsi="Times New Roman"/>
          <w:noProof/>
        </w:rPr>
        <w:t xml:space="preserve"> 77(1)</w:t>
      </w:r>
      <w:r>
        <w:rPr>
          <w:rFonts w:ascii="Times New Roman" w:cs="Times New Roman" w:hAnsi="Times New Roman"/>
          <w:noProof/>
        </w:rPr>
        <w:t xml:space="preserve">: </w:t>
      </w:r>
      <w:r>
        <w:rPr>
          <w:rFonts w:ascii="Times New Roman" w:cs="Times New Roman" w:hAnsi="Times New Roman"/>
          <w:noProof/>
        </w:rPr>
        <w:t>35-40.</w:t>
      </w:r>
      <w:r>
        <w:rPr>
          <w:rFonts w:ascii="Times New Roman" w:cs="Times New Roman" w:hAnsi="Times New Roman"/>
          <w:noProof/>
          <w:rtl/>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7. Deng Y, Chan SS</w:t>
      </w:r>
      <w:r>
        <w:rPr>
          <w:rFonts w:ascii="Times New Roman" w:cs="Times New Roman" w:hAnsi="Times New Roman"/>
          <w:noProof/>
        </w:rPr>
        <w:t xml:space="preserve"> and </w:t>
      </w:r>
      <w:r>
        <w:rPr>
          <w:rFonts w:ascii="Times New Roman" w:cs="Times New Roman" w:hAnsi="Times New Roman"/>
          <w:noProof/>
        </w:rPr>
        <w:t xml:space="preserve">Chang S. </w:t>
      </w:r>
      <w:r>
        <w:rPr>
          <w:rFonts w:ascii="Times New Roman" w:cs="Times New Roman" w:hAnsi="Times New Roman"/>
          <w:noProof/>
        </w:rPr>
        <w:t>(2008)</w:t>
      </w:r>
      <w:r>
        <w:rPr>
          <w:rFonts w:ascii="Times New Roman" w:cs="Times New Roman" w:hAnsi="Times New Roman"/>
          <w:noProof/>
        </w:rPr>
        <w:t>:</w:t>
      </w:r>
      <w:r>
        <w:rPr>
          <w:rFonts w:ascii="Times New Roman" w:cs="Times New Roman" w:hAnsi="Times New Roman"/>
          <w:noProof/>
        </w:rPr>
        <w:t xml:space="preserve"> Telomere dysfunction and tumour suppression: the senescence connection. Nature reviews cancer</w:t>
      </w:r>
      <w:r>
        <w:rPr>
          <w:rFonts w:ascii="Times New Roman" w:cs="Times New Roman" w:hAnsi="Times New Roman"/>
          <w:noProof/>
        </w:rPr>
        <w:t>;</w:t>
      </w:r>
      <w:r>
        <w:rPr>
          <w:rFonts w:ascii="Times New Roman" w:cs="Times New Roman" w:hAnsi="Times New Roman"/>
          <w:noProof/>
        </w:rPr>
        <w:t xml:space="preserve"> 8(6)</w:t>
      </w:r>
      <w:r>
        <w:rPr>
          <w:rFonts w:ascii="Times New Roman" w:cs="Times New Roman" w:hAnsi="Times New Roman"/>
          <w:noProof/>
        </w:rPr>
        <w:t>:</w:t>
      </w:r>
      <w:r>
        <w:rPr>
          <w:rFonts w:ascii="Times New Roman" w:cs="Times New Roman" w:hAnsi="Times New Roman"/>
          <w:noProof/>
        </w:rPr>
        <w:t xml:space="preserve"> 450-458</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 xml:space="preserve">8. Kroupa M, Tomasova K, Kavec M, Skrobanek P, Buchler T, Kumar R, et al. </w:t>
      </w:r>
      <w:r>
        <w:rPr>
          <w:rFonts w:ascii="Times New Roman" w:cs="Times New Roman" w:hAnsi="Times New Roman"/>
          <w:noProof/>
        </w:rPr>
        <w:t>(2022)</w:t>
      </w:r>
      <w:r>
        <w:rPr>
          <w:rFonts w:ascii="Times New Roman" w:cs="Times New Roman" w:hAnsi="Times New Roman"/>
          <w:noProof/>
        </w:rPr>
        <w:t>:</w:t>
      </w:r>
      <w:r>
        <w:rPr>
          <w:rFonts w:ascii="Times New Roman" w:cs="Times New Roman" w:hAnsi="Times New Roman"/>
          <w:noProof/>
        </w:rPr>
        <w:t xml:space="preserve"> TElomeric repeat-containing RNA (TERRA): Physiological functions and relevance in cancer. Frontiers in oncology</w:t>
      </w:r>
      <w:r>
        <w:rPr>
          <w:rFonts w:ascii="Times New Roman" w:cs="Times New Roman" w:hAnsi="Times New Roman"/>
          <w:noProof/>
        </w:rPr>
        <w:t>;</w:t>
      </w:r>
      <w:r>
        <w:rPr>
          <w:rFonts w:ascii="Times New Roman" w:cs="Times New Roman" w:hAnsi="Times New Roman"/>
          <w:noProof/>
        </w:rPr>
        <w:t xml:space="preserve"> 12</w:t>
      </w:r>
      <w:r>
        <w:rPr>
          <w:rFonts w:ascii="Times New Roman" w:cs="Times New Roman" w:hAnsi="Times New Roman"/>
          <w:noProof/>
        </w:rPr>
        <w:t>:</w:t>
      </w:r>
      <w:r>
        <w:rPr>
          <w:rFonts w:ascii="Times New Roman" w:cs="Times New Roman" w:hAnsi="Times New Roman"/>
          <w:noProof/>
        </w:rPr>
        <w:t xml:space="preserve"> </w:t>
      </w:r>
      <w:r>
        <w:rPr>
          <w:rFonts w:ascii="Times New Roman" w:cs="Times New Roman" w:hAnsi="Times New Roman"/>
          <w:noProof/>
        </w:rPr>
        <w:t>1-9.</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9. Cao H, Zhai Y, Ji X, Wang Y, Zhao J, Xing J, et al.</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2020</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Noncoding telomeric repeat-containing RNA inhibits the progression of hepatocellular carcinoma by regulating telomerase-mediated telomere length. </w:t>
      </w:r>
      <w:r>
        <w:rPr>
          <w:rFonts w:ascii="Times New Roman" w:cs="Times New Roman" w:hAnsi="Times New Roman"/>
          <w:noProof/>
        </w:rPr>
        <w:t>Cancer Science</w:t>
      </w:r>
      <w:r>
        <w:rPr>
          <w:rFonts w:ascii="Times New Roman" w:cs="Times New Roman" w:hAnsi="Times New Roman"/>
          <w:noProof/>
        </w:rPr>
        <w:t>;</w:t>
      </w:r>
      <w:r>
        <w:rPr>
          <w:rFonts w:ascii="Times New Roman" w:cs="Times New Roman" w:hAnsi="Times New Roman"/>
          <w:noProof/>
        </w:rPr>
        <w:t xml:space="preserve"> 111(8)</w:t>
      </w:r>
      <w:r>
        <w:rPr>
          <w:rFonts w:ascii="Times New Roman" w:cs="Times New Roman" w:hAnsi="Times New Roman"/>
          <w:noProof/>
        </w:rPr>
        <w:t>:</w:t>
      </w:r>
      <w:r>
        <w:rPr>
          <w:rFonts w:ascii="Times New Roman" w:cs="Times New Roman" w:hAnsi="Times New Roman"/>
          <w:noProof/>
        </w:rPr>
        <w:t xml:space="preserve"> 2789-2802</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10. Niu ZS, Niu XJ</w:t>
      </w:r>
      <w:r>
        <w:rPr>
          <w:rFonts w:ascii="Times New Roman" w:cs="Times New Roman" w:hAnsi="Times New Roman"/>
          <w:noProof/>
        </w:rPr>
        <w:t xml:space="preserve"> and </w:t>
      </w:r>
      <w:r>
        <w:rPr>
          <w:rFonts w:ascii="Times New Roman" w:cs="Times New Roman" w:hAnsi="Times New Roman"/>
          <w:noProof/>
        </w:rPr>
        <w:t>Wang WH</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w:t>
      </w:r>
      <w:r>
        <w:rPr>
          <w:rFonts w:ascii="Times New Roman" w:cs="Times New Roman" w:hAnsi="Times New Roman"/>
          <w:noProof/>
        </w:rPr>
        <w:t>16</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Genetic alterations in hepatocellular carcinoma: A</w:t>
      </w:r>
      <w:r>
        <w:rPr>
          <w:rFonts w:ascii="Times New Roman" w:cs="Times New Roman" w:hAnsi="Times New Roman"/>
          <w:noProof/>
        </w:rPr>
        <w:t xml:space="preserve">n update. </w:t>
      </w:r>
      <w:r>
        <w:rPr>
          <w:rFonts w:ascii="Times New Roman" w:cs="Times New Roman" w:hAnsi="Times New Roman"/>
          <w:noProof/>
        </w:rPr>
        <w:t>World journal of gastroenterology</w:t>
      </w:r>
      <w:r>
        <w:rPr>
          <w:rFonts w:ascii="Times New Roman" w:cs="Times New Roman" w:hAnsi="Times New Roman"/>
          <w:noProof/>
        </w:rPr>
        <w:t>;22</w:t>
      </w:r>
      <w:r>
        <w:t xml:space="preserve"> </w:t>
      </w:r>
      <w:r>
        <w:rPr>
          <w:rFonts w:ascii="Times New Roman" w:cs="Times New Roman" w:hAnsi="Times New Roman"/>
          <w:noProof/>
        </w:rPr>
        <w:t>(41)</w:t>
      </w:r>
      <w:r>
        <w:rPr>
          <w:rFonts w:ascii="Times New Roman" w:cs="Times New Roman" w:hAnsi="Times New Roman"/>
          <w:noProof/>
        </w:rPr>
        <w:t>:</w:t>
      </w:r>
      <w:r>
        <w:rPr>
          <w:rFonts w:ascii="Times New Roman" w:cs="Times New Roman" w:hAnsi="Times New Roman"/>
          <w:noProof/>
        </w:rPr>
        <w:t xml:space="preserve"> </w:t>
      </w:r>
      <w:r>
        <w:rPr>
          <w:rFonts w:ascii="Times New Roman" w:cs="Times New Roman" w:hAnsi="Times New Roman"/>
          <w:noProof/>
        </w:rPr>
        <w:t>9069-</w:t>
      </w:r>
      <w:r>
        <w:rPr>
          <w:rFonts w:ascii="Times New Roman" w:cs="Times New Roman" w:hAnsi="Times New Roman"/>
          <w:noProof/>
        </w:rPr>
        <w:t>90</w:t>
      </w:r>
      <w:r>
        <w:rPr>
          <w:rFonts w:ascii="Times New Roman" w:cs="Times New Roman" w:hAnsi="Times New Roman"/>
          <w:noProof/>
        </w:rPr>
        <w:t>95.</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11. Manna D</w:t>
      </w:r>
      <w:r>
        <w:rPr>
          <w:rFonts w:ascii="Times New Roman" w:cs="Times New Roman" w:hAnsi="Times New Roman"/>
          <w:noProof/>
        </w:rPr>
        <w:t xml:space="preserve"> and</w:t>
      </w:r>
      <w:r>
        <w:rPr>
          <w:rFonts w:ascii="Times New Roman" w:cs="Times New Roman" w:hAnsi="Times New Roman"/>
          <w:noProof/>
        </w:rPr>
        <w:t xml:space="preserve"> Sarkar D</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2020</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Non-Coding RNAs: Regulating Disease Progression and Therapy Resistance in Hepatocellular Carcinoma. Cancers;</w:t>
      </w:r>
      <w:r>
        <w:t xml:space="preserve"> </w:t>
      </w:r>
      <w:r>
        <w:rPr>
          <w:rFonts w:ascii="Times New Roman" w:cs="Times New Roman" w:hAnsi="Times New Roman"/>
          <w:noProof/>
        </w:rPr>
        <w:t>12(5), 1243-1269</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12. Manganelli M, Grossi I, Corsi J, D'Agostino VG, Jurikova K, Cusanelli E, et al</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w:t>
      </w:r>
      <w:r>
        <w:rPr>
          <w:rFonts w:ascii="Times New Roman" w:cs="Times New Roman" w:hAnsi="Times New Roman"/>
          <w:noProof/>
        </w:rPr>
        <w:t>2</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Expression of Cellular and Extracellular TERRA, TERC and TERT in Hepatocellular Carcinoma. </w:t>
      </w:r>
      <w:r>
        <w:rPr>
          <w:rFonts w:ascii="Times New Roman" w:cs="Times New Roman" w:hAnsi="Times New Roman"/>
          <w:noProof/>
        </w:rPr>
        <w:t>International Journal of Molecular Sciences</w:t>
      </w:r>
      <w:r>
        <w:rPr>
          <w:rFonts w:ascii="Times New Roman" w:cs="Times New Roman" w:hAnsi="Times New Roman"/>
          <w:noProof/>
        </w:rPr>
        <w:t>;</w:t>
      </w:r>
      <w:r>
        <w:rPr>
          <w:rFonts w:ascii="Times New Roman" w:cs="Times New Roman" w:hAnsi="Times New Roman"/>
          <w:noProof/>
        </w:rPr>
        <w:t xml:space="preserve"> 23(11), 6183</w:t>
      </w:r>
      <w:r>
        <w:rPr>
          <w:rFonts w:ascii="Times New Roman" w:cs="Times New Roman" w:hAnsi="Times New Roman"/>
          <w:noProof/>
        </w:rPr>
        <w:t>-6199</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13. Vitelli V, Falvo P, S GN, Santagostino M, Khoriauli L, Pellanda P, et al</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2018</w:t>
      </w:r>
      <w:r>
        <w:rPr>
          <w:rFonts w:ascii="Times New Roman" w:cs="Times New Roman" w:hAnsi="Times New Roman"/>
          <w:noProof/>
        </w:rPr>
        <w:t>)</w:t>
      </w:r>
      <w:r>
        <w:rPr>
          <w:rFonts w:ascii="Times New Roman" w:cs="Times New Roman" w:hAnsi="Times New Roman"/>
          <w:noProof/>
        </w:rPr>
        <w:t xml:space="preserve">: </w:t>
      </w:r>
      <w:r>
        <w:rPr>
          <w:rFonts w:ascii="Times New Roman" w:cs="Times New Roman" w:hAnsi="Times New Roman"/>
          <w:noProof/>
        </w:rPr>
        <w:t xml:space="preserve">Telomeric Repeat-Containing RNAs (TERRA) Decrease in Squamous Cell Carcinoma of the Head and Neck Is Associated with Worsened Clinical Outcome. </w:t>
      </w:r>
      <w:r>
        <w:rPr>
          <w:rFonts w:ascii="Times New Roman" w:cs="Times New Roman" w:hAnsi="Times New Roman"/>
          <w:noProof/>
        </w:rPr>
        <w:t>International Journal of Molecular Sciences</w:t>
      </w:r>
      <w:r>
        <w:rPr>
          <w:rFonts w:ascii="Times New Roman" w:cs="Times New Roman" w:hAnsi="Times New Roman"/>
          <w:noProof/>
        </w:rPr>
        <w:t>;</w:t>
      </w:r>
      <w:r>
        <w:rPr>
          <w:rFonts w:ascii="Times New Roman" w:cs="Times New Roman" w:hAnsi="Times New Roman"/>
          <w:noProof/>
        </w:rPr>
        <w:t xml:space="preserve"> 19(1), 274</w:t>
      </w:r>
      <w:r>
        <w:rPr>
          <w:rFonts w:ascii="Times New Roman" w:cs="Times New Roman" w:hAnsi="Times New Roman"/>
          <w:noProof/>
        </w:rPr>
        <w:t>-285</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14. Das S, Dey MK, Devireddy R</w:t>
      </w:r>
      <w:r>
        <w:rPr>
          <w:rFonts w:ascii="Times New Roman" w:cs="Times New Roman" w:hAnsi="Times New Roman"/>
          <w:noProof/>
        </w:rPr>
        <w:t xml:space="preserve"> and</w:t>
      </w:r>
      <w:r>
        <w:rPr>
          <w:rFonts w:ascii="Times New Roman" w:cs="Times New Roman" w:hAnsi="Times New Roman"/>
          <w:noProof/>
        </w:rPr>
        <w:t xml:space="preserve"> Gartia MR</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w:t>
      </w:r>
      <w:r>
        <w:rPr>
          <w:rFonts w:ascii="Times New Roman" w:cs="Times New Roman" w:hAnsi="Times New Roman"/>
          <w:noProof/>
        </w:rPr>
        <w:t>23</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Biomarkers in Cancer Detection, Diagnosis,</w:t>
      </w:r>
      <w:r>
        <w:rPr>
          <w:rFonts w:ascii="Times New Roman" w:cs="Times New Roman" w:hAnsi="Times New Roman"/>
          <w:noProof/>
        </w:rPr>
        <w:t xml:space="preserve"> and Prognosis. Sensors</w:t>
      </w:r>
      <w:r>
        <w:rPr>
          <w:rFonts w:ascii="Times New Roman" w:cs="Times New Roman" w:hAnsi="Times New Roman"/>
          <w:noProof/>
        </w:rPr>
        <w:t>;</w:t>
      </w:r>
      <w:r>
        <w:rPr>
          <w:rFonts w:ascii="Times New Roman" w:cs="Times New Roman" w:hAnsi="Times New Roman"/>
          <w:noProof/>
        </w:rPr>
        <w:t xml:space="preserve"> </w:t>
      </w:r>
      <w:r>
        <w:rPr>
          <w:rFonts w:ascii="Times New Roman" w:cs="Times New Roman" w:hAnsi="Times New Roman"/>
          <w:noProof/>
        </w:rPr>
        <w:t>24(1)</w:t>
      </w:r>
      <w:r>
        <w:rPr>
          <w:rFonts w:ascii="Times New Roman" w:cs="Times New Roman" w:hAnsi="Times New Roman"/>
          <w:noProof/>
        </w:rPr>
        <w:t>:</w:t>
      </w:r>
      <w:r>
        <w:rPr>
          <w:rFonts w:ascii="Times New Roman" w:cs="Times New Roman" w:hAnsi="Times New Roman"/>
          <w:noProof/>
        </w:rPr>
        <w:t xml:space="preserve"> 37</w:t>
      </w:r>
      <w:r>
        <w:rPr>
          <w:rFonts w:ascii="Times New Roman" w:cs="Times New Roman" w:hAnsi="Times New Roman"/>
          <w:noProof/>
        </w:rPr>
        <w:t>-91</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15. Marrugo-Ramírez J, Mir M</w:t>
      </w:r>
      <w:r>
        <w:rPr>
          <w:rFonts w:ascii="Times New Roman" w:cs="Times New Roman" w:hAnsi="Times New Roman"/>
          <w:noProof/>
        </w:rPr>
        <w:t xml:space="preserve"> and</w:t>
      </w:r>
      <w:r>
        <w:rPr>
          <w:rFonts w:ascii="Times New Roman" w:cs="Times New Roman" w:hAnsi="Times New Roman"/>
          <w:noProof/>
        </w:rPr>
        <w:t xml:space="preserve"> Samitier J</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2018</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Blood-Based Cancer Biomarkers in Liquid Biopsy: A Promising Non-Invasive Alternative to Tissue Biopsy. </w:t>
      </w:r>
      <w:r>
        <w:rPr>
          <w:rFonts w:ascii="Times New Roman" w:cs="Times New Roman" w:hAnsi="Times New Roman"/>
          <w:noProof/>
        </w:rPr>
        <w:t>International journal of molecular sciences</w:t>
      </w:r>
      <w:r>
        <w:rPr>
          <w:rFonts w:ascii="Times New Roman" w:cs="Times New Roman" w:hAnsi="Times New Roman"/>
          <w:noProof/>
        </w:rPr>
        <w:t>;</w:t>
      </w:r>
      <w:r>
        <w:rPr>
          <w:rFonts w:ascii="Times New Roman" w:cs="Times New Roman" w:hAnsi="Times New Roman"/>
          <w:noProof/>
        </w:rPr>
        <w:t xml:space="preserve"> 19(10)</w:t>
      </w:r>
      <w:r>
        <w:rPr>
          <w:rFonts w:ascii="Times New Roman" w:cs="Times New Roman" w:hAnsi="Times New Roman"/>
          <w:noProof/>
        </w:rPr>
        <w:t>:</w:t>
      </w:r>
      <w:r>
        <w:rPr>
          <w:rFonts w:ascii="Times New Roman" w:cs="Times New Roman" w:hAnsi="Times New Roman"/>
          <w:noProof/>
        </w:rPr>
        <w:t xml:space="preserve"> 2877</w:t>
      </w:r>
      <w:r>
        <w:rPr>
          <w:rFonts w:ascii="Times New Roman" w:cs="Times New Roman" w:hAnsi="Times New Roman"/>
          <w:noProof/>
        </w:rPr>
        <w:t>-2897</w:t>
      </w:r>
      <w:r>
        <w:rPr>
          <w:rFonts w:ascii="Times New Roman" w:cs="Times New Roman" w:hAnsi="Times New Roman"/>
          <w:noProof/>
        </w:rPr>
        <w:t>.</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16. Akritidou E, Douridas G, Spartalis E, Tsourouflis G, Dimitroulis D</w:t>
      </w:r>
      <w:r>
        <w:rPr>
          <w:rFonts w:ascii="Times New Roman" w:cs="Times New Roman" w:hAnsi="Times New Roman"/>
          <w:noProof/>
        </w:rPr>
        <w:t xml:space="preserve"> and</w:t>
      </w:r>
      <w:r>
        <w:rPr>
          <w:rFonts w:ascii="Times New Roman" w:cs="Times New Roman" w:hAnsi="Times New Roman"/>
          <w:noProof/>
        </w:rPr>
        <w:t xml:space="preserve"> Nikiteas NI</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2022</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Complications of Trans-oral Endoscopic Thyroidectomy Vestibular Approac</w:t>
      </w:r>
      <w:r>
        <w:rPr>
          <w:rFonts w:ascii="Times New Roman" w:cs="Times New Roman" w:hAnsi="Times New Roman"/>
          <w:noProof/>
        </w:rPr>
        <w:t>h: A Systematic Review. In Vivo</w:t>
      </w:r>
      <w:r>
        <w:rPr>
          <w:rFonts w:ascii="Times New Roman" w:cs="Times New Roman" w:hAnsi="Times New Roman"/>
          <w:noProof/>
        </w:rPr>
        <w:t>;</w:t>
      </w:r>
      <w:r>
        <w:rPr>
          <w:rFonts w:ascii="Times New Roman" w:cs="Times New Roman" w:hAnsi="Times New Roman"/>
          <w:noProof/>
        </w:rPr>
        <w:t xml:space="preserve"> </w:t>
      </w:r>
      <w:r>
        <w:rPr>
          <w:rFonts w:ascii="Times New Roman" w:cs="Times New Roman" w:hAnsi="Times New Roman"/>
          <w:noProof/>
        </w:rPr>
        <w:t>36:1-12.</w:t>
      </w:r>
    </w:p>
    <w:p>
      <w:pPr>
        <w:pStyle w:val="style4112"/>
        <w:bidi w:val="false"/>
        <w:spacing w:after="0" w:lineRule="auto" w:line="276"/>
        <w:rPr>
          <w:rFonts w:ascii="Times New Roman" w:cs="Times New Roman" w:hAnsi="Times New Roman"/>
          <w:noProof/>
        </w:rPr>
      </w:pPr>
      <w:r>
        <w:rPr>
          <w:rFonts w:ascii="Times New Roman" w:cs="Times New Roman" w:hAnsi="Times New Roman"/>
          <w:noProof/>
        </w:rPr>
        <w:t>17. Johnson P, Zhou Q, Dao DY</w:t>
      </w:r>
      <w:r>
        <w:rPr>
          <w:rFonts w:ascii="Times New Roman" w:cs="Times New Roman" w:hAnsi="Times New Roman"/>
          <w:noProof/>
        </w:rPr>
        <w:t xml:space="preserve"> and</w:t>
      </w:r>
      <w:r>
        <w:rPr>
          <w:rFonts w:ascii="Times New Roman" w:cs="Times New Roman" w:hAnsi="Times New Roman"/>
          <w:noProof/>
        </w:rPr>
        <w:t xml:space="preserve"> Lo YMD</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2022</w:t>
      </w:r>
      <w:r>
        <w:rPr>
          <w:rFonts w:ascii="Times New Roman" w:cs="Times New Roman" w:hAnsi="Times New Roman"/>
          <w:noProof/>
        </w:rPr>
        <w:t>)</w:t>
      </w:r>
      <w:r>
        <w:rPr>
          <w:rFonts w:ascii="Times New Roman" w:cs="Times New Roman" w:hAnsi="Times New Roman"/>
          <w:noProof/>
        </w:rPr>
        <w:t>. Circulating biomarkers in the diagnosis and management of hepatocellular carcinoma. Nat Rev Gastroenterol Hepatol;</w:t>
      </w:r>
      <w:r>
        <w:rPr>
          <w:rFonts w:ascii="Times New Roman" w:cs="Times New Roman" w:hAnsi="Times New Roman"/>
          <w:noProof/>
        </w:rPr>
        <w:t xml:space="preserve"> </w:t>
      </w:r>
      <w:r>
        <w:rPr>
          <w:rFonts w:ascii="Times New Roman" w:cs="Times New Roman" w:hAnsi="Times New Roman"/>
          <w:noProof/>
        </w:rPr>
        <w:t>19:670-81.</w:t>
      </w:r>
    </w:p>
    <w:p>
      <w:pPr>
        <w:pStyle w:val="style4112"/>
        <w:bidi w:val="false"/>
        <w:spacing w:lineRule="auto" w:line="276"/>
        <w:rPr>
          <w:rFonts w:ascii="Times New Roman" w:cs="Times New Roman" w:hAnsi="Times New Roman"/>
          <w:noProof/>
        </w:rPr>
      </w:pPr>
      <w:r>
        <w:rPr>
          <w:rFonts w:ascii="Times New Roman" w:cs="Times New Roman" w:hAnsi="Times New Roman"/>
          <w:noProof/>
        </w:rPr>
        <w:t>18. Montella L, Sarno F, Ambrosino A, Facchini S, D'Antò M, Laterza MM, et al</w:t>
      </w:r>
      <w:r>
        <w:rPr>
          <w:rFonts w:ascii="Times New Roman" w:cs="Times New Roman" w:hAnsi="Times New Roman"/>
          <w:noProof/>
        </w:rPr>
        <w:t xml:space="preserve"> </w:t>
      </w:r>
      <w:r>
        <w:rPr>
          <w:rFonts w:ascii="Times New Roman" w:cs="Times New Roman" w:hAnsi="Times New Roman"/>
          <w:noProof/>
        </w:rPr>
        <w:t>(</w:t>
      </w:r>
      <w:r>
        <w:rPr>
          <w:rFonts w:ascii="Times New Roman" w:cs="Times New Roman" w:hAnsi="Times New Roman"/>
          <w:noProof/>
        </w:rPr>
        <w:t>202</w:t>
      </w:r>
      <w:r>
        <w:rPr>
          <w:rFonts w:ascii="Times New Roman" w:cs="Times New Roman" w:hAnsi="Times New Roman"/>
          <w:noProof/>
        </w:rPr>
        <w:t>1</w:t>
      </w:r>
      <w:r>
        <w:rPr>
          <w:rFonts w:ascii="Times New Roman" w:cs="Times New Roman" w:hAnsi="Times New Roman"/>
          <w:noProof/>
        </w:rPr>
        <w:t>)</w:t>
      </w:r>
      <w:r>
        <w:rPr>
          <w:rFonts w:ascii="Times New Roman" w:cs="Times New Roman" w:hAnsi="Times New Roman"/>
          <w:noProof/>
        </w:rPr>
        <w:t>:</w:t>
      </w:r>
      <w:r>
        <w:rPr>
          <w:rFonts w:ascii="Times New Roman" w:cs="Times New Roman" w:hAnsi="Times New Roman"/>
          <w:noProof/>
        </w:rPr>
        <w:t xml:space="preserve"> The Role of Immunotherapy in a Tolerogenic Environment: Current and Future Perspectives for Hepatocellular Carcinoma. Cells;</w:t>
      </w:r>
      <w:r>
        <w:t xml:space="preserve"> </w:t>
      </w:r>
      <w:r>
        <w:rPr>
          <w:rFonts w:ascii="Times New Roman" w:cs="Times New Roman" w:hAnsi="Times New Roman"/>
          <w:noProof/>
        </w:rPr>
        <w:t>10(8), 1909</w:t>
      </w:r>
      <w:r>
        <w:rPr>
          <w:rFonts w:ascii="Times New Roman" w:cs="Times New Roman" w:hAnsi="Times New Roman"/>
          <w:noProof/>
        </w:rPr>
        <w:t>-1929</w:t>
      </w:r>
      <w:r>
        <w:rPr>
          <w:rFonts w:ascii="Times New Roman" w:cs="Times New Roman" w:hAnsi="Times New Roman"/>
          <w:noProof/>
        </w:rPr>
        <w:t>.</w:t>
      </w:r>
    </w:p>
    <w:p>
      <w:pPr>
        <w:pStyle w:val="style4112"/>
        <w:bidi w:val="false"/>
        <w:spacing w:lineRule="auto" w:line="276"/>
        <w:rPr>
          <w:rFonts w:ascii="Times New Roman" w:cs="Times New Roman" w:hAnsi="Times New Roman"/>
          <w:noProof/>
        </w:rPr>
      </w:pPr>
      <w:r>
        <w:rPr>
          <w:rFonts w:ascii="Times New Roman" w:cs="Times New Roman" w:hAnsi="Times New Roman"/>
          <w:noProof/>
        </w:rPr>
        <w:t xml:space="preserve">19. </w:t>
      </w:r>
      <w:r>
        <w:rPr>
          <w:rFonts w:ascii="Times New Roman" w:cs="Times New Roman" w:hAnsi="Times New Roman"/>
          <w:noProof/>
        </w:rPr>
        <w:t>Hetta HF, Hamed HM, Mekky MA, Abdel-Malek MO and Hassan WA. (2024)</w:t>
      </w:r>
      <w:r>
        <w:rPr>
          <w:rFonts w:ascii="Times New Roman" w:cs="Times New Roman" w:hAnsi="Times New Roman"/>
          <w:noProof/>
        </w:rPr>
        <w:t>:</w:t>
      </w:r>
      <w:r>
        <w:rPr>
          <w:rFonts w:ascii="Times New Roman" w:cs="Times New Roman" w:hAnsi="Times New Roman"/>
          <w:noProof/>
        </w:rPr>
        <w:t xml:space="preserve"> Circulating microRNA-21, microRNA-122, and microRNA-222 as diagnostic biomarkers for hepatitis c virus-related hepatocellular carcinoma. Egyptian Liver Journal, 14(1): 78-83.</w:t>
      </w:r>
      <w:r>
        <w:rPr>
          <w:rFonts w:ascii="Times New Roman" w:cs="Times New Roman" w:hAnsi="Times New Roman"/>
          <w:noProof/>
          <w:rtl/>
        </w:rPr>
        <w:t>‏</w:t>
      </w:r>
    </w:p>
    <w:p>
      <w:pPr>
        <w:pStyle w:val="style4112"/>
        <w:bidi w:val="false"/>
        <w:spacing w:lineRule="auto" w:line="276"/>
        <w:jc w:val="left"/>
        <w:rPr>
          <w:rFonts w:ascii="Times New Roman" w:cs="Times New Roman" w:hAnsi="Times New Roman"/>
          <w:noProof/>
        </w:rPr>
      </w:pPr>
      <w:r>
        <w:rPr>
          <w:rFonts w:ascii="Times New Roman" w:cs="Times New Roman" w:hAnsi="Times New Roman"/>
          <w:noProof/>
        </w:rPr>
        <w:t xml:space="preserve">20. </w:t>
      </w:r>
      <w:r>
        <w:rPr>
          <w:rFonts w:ascii="Times New Roman" w:cs="Times New Roman" w:hAnsi="Times New Roman"/>
          <w:noProof/>
        </w:rPr>
        <w:t>Amr KS, Atia HAE, Elbnhawy RAE and Ezzat WM (2017): Early diagnostic evaluation of miR-122 and miR-224 as biomarkers for hepatocellular carcinoma. Genes &amp; diseases, 4(4), 215-221</w:t>
      </w:r>
      <w:r>
        <w:rPr>
          <w:rFonts w:ascii="Times New Roman" w:cs="Times New Roman" w:hAnsi="Times New Roman"/>
          <w:noProof/>
          <w:rtl/>
        </w:rPr>
        <w:t>.‏</w:t>
      </w:r>
    </w:p>
    <w:p>
      <w:pPr>
        <w:pStyle w:val="style4112"/>
        <w:bidi w:val="false"/>
        <w:spacing w:lineRule="auto" w:line="276"/>
        <w:jc w:val="left"/>
        <w:rPr>
          <w:rFonts w:ascii="Times New Roman" w:cs="Times New Roman" w:hAnsi="Times New Roman"/>
          <w:noProof/>
        </w:rPr>
      </w:pPr>
      <w:r>
        <w:rPr>
          <w:rFonts w:ascii="Times New Roman" w:cs="Times New Roman" w:hAnsi="Times New Roman"/>
          <w:noProof/>
        </w:rPr>
        <w:t xml:space="preserve">21. </w:t>
      </w:r>
      <w:r>
        <w:rPr>
          <w:rFonts w:ascii="Times New Roman" w:cs="Times New Roman" w:hAnsi="Times New Roman"/>
          <w:noProof/>
        </w:rPr>
        <w:t>Wei XY, Ding J, Tian WG and Yu YC. (2020): MicroRNA-122 as a diagnostic biomarker for hepatocellular carcinoma related to hepatitis C virus: a meta-analysis and systematic review. Journal of International Medical Research, 48(8), 1-12</w:t>
      </w:r>
      <w:r>
        <w:rPr>
          <w:rFonts w:ascii="Times New Roman" w:cs="Times New Roman" w:hAnsi="Times New Roman"/>
          <w:noProof/>
          <w:rtl/>
        </w:rPr>
        <w:t>.</w:t>
      </w:r>
    </w:p>
    <w:p>
      <w:pPr>
        <w:pStyle w:val="style4112"/>
        <w:bidi w:val="false"/>
        <w:spacing w:lineRule="auto" w:line="276"/>
        <w:jc w:val="left"/>
        <w:rPr>
          <w:rFonts w:ascii="Times New Roman" w:cs="Times New Roman" w:hAnsi="Times New Roman"/>
          <w:noProof/>
        </w:rPr>
      </w:pPr>
      <w:r>
        <w:rPr>
          <w:rFonts w:ascii="Times New Roman" w:cs="Times New Roman" w:hAnsi="Times New Roman"/>
          <w:noProof/>
        </w:rPr>
        <w:t xml:space="preserve">22. </w:t>
      </w:r>
      <w:r>
        <w:rPr>
          <w:rFonts w:ascii="Times New Roman" w:cs="Times New Roman" w:hAnsi="Times New Roman"/>
          <w:noProof/>
        </w:rPr>
        <w:t>Lombardo D, Saitta C, Giosa D, Di Tocco FC, Musolino C, Caminiti G et al., (2020): Frequency of somatic mutations in TERT promoter, TP53 and CTNNB1 genes in patients with hepatocellular carcinoma from Southern Italy. Oncology letters, 19(3), 2368-2374.</w:t>
      </w:r>
      <w:r>
        <w:rPr>
          <w:rFonts w:ascii="Times New Roman" w:cs="Times New Roman" w:hAnsi="Times New Roman"/>
          <w:noProof/>
          <w:rtl/>
        </w:rPr>
        <w:t>‏</w:t>
      </w:r>
    </w:p>
    <w:p>
      <w:pPr>
        <w:pStyle w:val="style4112"/>
        <w:bidi w:val="false"/>
        <w:spacing w:lineRule="auto" w:line="276"/>
        <w:rPr>
          <w:rFonts w:ascii="Times New Roman" w:cs="Times New Roman" w:hAnsi="Times New Roman"/>
          <w:noProof/>
        </w:rPr>
      </w:pPr>
    </w:p>
    <w:p>
      <w:pPr>
        <w:pStyle w:val="style0"/>
        <w:bidi w:val="false"/>
        <w:spacing w:after="0" w:lineRule="auto" w:line="276"/>
        <w:jc w:val="both"/>
        <w:rPr>
          <w:rFonts w:ascii="Times New Roman" w:cs="Times New Roman" w:hAnsi="Times New Roman"/>
        </w:rPr>
      </w:pPr>
      <w:r>
        <w:rPr>
          <w:rFonts w:ascii="Times New Roman" w:cs="Times New Roman" w:hAnsi="Times New Roman"/>
        </w:rPr>
        <w:fldChar w:fldCharType="end"/>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 w:name="MS Mincho">
    <w:altName w:val="ＭＳ 明朝"/>
    <w:panose1 w:val="02020609040002080304"/>
    <w:charset w:val="80"/>
    <w:family w:val="modern"/>
    <w:pitch w:val="fixed"/>
    <w:sig w:usb0="E00002FF" w:usb1="6AC7FDFB" w:usb2="00000012" w:usb3="00000000" w:csb0="0002009F" w:csb1="00000000"/>
  </w:font>
  <w:font w:name="Consolas">
    <w:altName w:val="Consolas"/>
    <w:panose1 w:val="020b0609020002030204"/>
    <w:charset w:val="00"/>
    <w:family w:val="modern"/>
    <w:pitch w:val="fixed"/>
    <w:sig w:usb0="E10002FF" w:usb1="4000FCFF" w:usb2="00000009" w:usb3="00000000" w:csb0="0000019F" w:csb1="00000000"/>
  </w:font>
  <w:font w:name="等线">
    <w:altName w:val=""/>
    <w:panose1 w:val="00000000000000000000"/>
    <w:charset w:val="00"/>
    <w:family w:val="auto"/>
    <w:pitch w:val="default"/>
    <w:sig w:usb0="E0002AFF" w:usb1="C0007841" w:usb2="00000009" w:usb3="00000000" w:csb0="000001FF" w:csb1="00000000"/>
  </w:font>
  <w:font w:name="等线 Light">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C0A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lang w:val="en-US" w:bidi="ar-SA" w:eastAsia="en-US"/>
      </w:rPr>
    </w:rPrDefault>
    <w:pPrDefault>
      <w:pPr/>
    </w:pPrDefault>
  </w:docDefaults>
  <w:style w:type="paragraph" w:default="1" w:styleId="style0">
    <w:name w:val="Normal"/>
    <w:next w:val="style0"/>
    <w:qFormat/>
    <w:pPr>
      <w:bidi/>
      <w:spacing w:after="160" w:lineRule="auto" w:line="278"/>
    </w:pPr>
    <w:rPr>
      <w:rFonts w:eastAsia="等线"/>
      <w:kern w:val="2"/>
      <w:sz w:val="24"/>
      <w:szCs w:val="24"/>
      <w14:ligatures xmlns:w14="http://schemas.microsoft.com/office/word/2010/wordml" w14:val="standardContextual"/>
    </w:r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等线 Light"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等线 Light"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等线 Light"/>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等线 Light"/>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等线 Light"/>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等线 Light"/>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等线 Light"/>
      <w:color w:val="595959"/>
    </w:rPr>
  </w:style>
  <w:style w:type="paragraph" w:styleId="style8">
    <w:name w:val="heading 8"/>
    <w:basedOn w:val="style0"/>
    <w:next w:val="style0"/>
    <w:link w:val="style4104"/>
    <w:qFormat/>
    <w:uiPriority w:val="9"/>
    <w:pPr>
      <w:keepNext/>
      <w:keepLines/>
      <w:spacing w:after="0"/>
      <w:outlineLvl w:val="7"/>
    </w:pPr>
    <w:rPr>
      <w:rFonts w:cs="Times New Roman" w:eastAsia="等线 Light"/>
      <w:i/>
      <w:iCs/>
      <w:color w:val="262626"/>
    </w:rPr>
  </w:style>
  <w:style w:type="paragraph" w:styleId="style9">
    <w:name w:val="heading 9"/>
    <w:basedOn w:val="style0"/>
    <w:next w:val="style0"/>
    <w:link w:val="style4105"/>
    <w:qFormat/>
    <w:uiPriority w:val="9"/>
    <w:pPr>
      <w:keepNext/>
      <w:keepLines/>
      <w:spacing w:after="0"/>
      <w:outlineLvl w:val="8"/>
    </w:pPr>
    <w:rPr>
      <w:rFonts w:cs="Times New Roman" w:eastAsia="等线 Light"/>
      <w:color w:val="2626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paragraph" w:styleId="style74">
    <w:name w:val="Subtitle"/>
    <w:basedOn w:val="style0"/>
    <w:next w:val="style0"/>
    <w:link w:val="style4107"/>
    <w:qFormat/>
    <w:uiPriority w:val="11"/>
    <w:pPr/>
    <w:rPr>
      <w:rFonts w:cs="Times New Roman" w:eastAsia="等线 Light"/>
      <w:color w:val="595959"/>
      <w:spacing w:val="15"/>
      <w:sz w:val="28"/>
      <w:szCs w:val="28"/>
    </w:rPr>
  </w:style>
  <w:style w:type="table" w:styleId="style154">
    <w:name w:val="Table Grid"/>
    <w:basedOn w:val="style105"/>
    <w:next w:val="style154"/>
    <w:qFormat/>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等线 Light" w:hAnsi="Calibri Light"/>
      <w:spacing w:val="-10"/>
      <w:kern w:val="28"/>
      <w:sz w:val="56"/>
      <w:szCs w:val="56"/>
    </w:rPr>
  </w:style>
  <w:style w:type="character" w:customStyle="1" w:styleId="style4097">
    <w:name w:val="Heading 1 Char_286906df-559d-47be-a68d-6d6fd39837b6"/>
    <w:basedOn w:val="style65"/>
    <w:next w:val="style4097"/>
    <w:link w:val="style1"/>
    <w:uiPriority w:val="9"/>
    <w:rPr>
      <w:rFonts w:ascii="Calibri Light" w:cs="Times New Roman" w:eastAsia="等线 Light" w:hAnsi="Calibri Light"/>
      <w:color w:val="2f5496"/>
      <w:sz w:val="40"/>
      <w:szCs w:val="40"/>
    </w:rPr>
  </w:style>
  <w:style w:type="character" w:customStyle="1" w:styleId="style4098">
    <w:name w:val="Heading 2 Char_b48de9c3-3198-40f4-81ce-f93b85ba253e"/>
    <w:basedOn w:val="style65"/>
    <w:next w:val="style4098"/>
    <w:link w:val="style2"/>
    <w:uiPriority w:val="9"/>
    <w:rPr>
      <w:rFonts w:ascii="Calibri Light" w:cs="Times New Roman" w:eastAsia="等线 Light" w:hAnsi="Calibri Light"/>
      <w:color w:val="2f5496"/>
      <w:sz w:val="32"/>
      <w:szCs w:val="32"/>
    </w:rPr>
  </w:style>
  <w:style w:type="character" w:customStyle="1" w:styleId="style4099">
    <w:name w:val="Heading 3 Char_df2564cb-6298-4332-9ecc-0579b54f9676"/>
    <w:basedOn w:val="style65"/>
    <w:next w:val="style4099"/>
    <w:link w:val="style3"/>
    <w:qFormat/>
    <w:uiPriority w:val="9"/>
    <w:rPr>
      <w:rFonts w:cs="Times New Roman" w:eastAsia="等线 Light"/>
      <w:color w:val="2f5496"/>
      <w:sz w:val="28"/>
      <w:szCs w:val="28"/>
    </w:rPr>
  </w:style>
  <w:style w:type="character" w:customStyle="1" w:styleId="style4100">
    <w:name w:val="Heading 4 Char_7a92b186-3a87-40ed-8cd1-b1f10d19e0e1"/>
    <w:basedOn w:val="style65"/>
    <w:next w:val="style4100"/>
    <w:link w:val="style4"/>
    <w:qFormat/>
    <w:uiPriority w:val="9"/>
    <w:rPr>
      <w:rFonts w:cs="Times New Roman" w:eastAsia="等线 Light"/>
      <w:i/>
      <w:iCs/>
      <w:color w:val="2f5496"/>
    </w:rPr>
  </w:style>
  <w:style w:type="character" w:customStyle="1" w:styleId="style4101">
    <w:name w:val="Heading 5 Char_85ec83a3-f3a3-431f-8a5c-350b57039cbd"/>
    <w:basedOn w:val="style65"/>
    <w:next w:val="style4101"/>
    <w:link w:val="style5"/>
    <w:qFormat/>
    <w:uiPriority w:val="9"/>
    <w:rPr>
      <w:rFonts w:cs="Times New Roman" w:eastAsia="等线 Light"/>
      <w:color w:val="2f5496"/>
    </w:rPr>
  </w:style>
  <w:style w:type="character" w:customStyle="1" w:styleId="style4102">
    <w:name w:val="Heading 6 Char_cf217180-8c55-44c7-b7db-52f2e30b5520"/>
    <w:basedOn w:val="style65"/>
    <w:next w:val="style4102"/>
    <w:link w:val="style6"/>
    <w:qFormat/>
    <w:uiPriority w:val="9"/>
    <w:rPr>
      <w:rFonts w:cs="Times New Roman" w:eastAsia="等线 Light"/>
      <w:i/>
      <w:iCs/>
      <w:color w:val="595959"/>
    </w:rPr>
  </w:style>
  <w:style w:type="character" w:customStyle="1" w:styleId="style4103">
    <w:name w:val="Heading 7 Char_217e5263-0ed7-4387-bc30-20bcb1ee6d83"/>
    <w:basedOn w:val="style65"/>
    <w:next w:val="style4103"/>
    <w:link w:val="style7"/>
    <w:qFormat/>
    <w:uiPriority w:val="9"/>
    <w:rPr>
      <w:rFonts w:cs="Times New Roman" w:eastAsia="等线 Light"/>
      <w:color w:val="595959"/>
    </w:rPr>
  </w:style>
  <w:style w:type="character" w:customStyle="1" w:styleId="style4104">
    <w:name w:val="Heading 8 Char_425d7710-c873-4a89-8ab0-f9d8f575e3b6"/>
    <w:basedOn w:val="style65"/>
    <w:next w:val="style4104"/>
    <w:link w:val="style8"/>
    <w:qFormat/>
    <w:uiPriority w:val="9"/>
    <w:rPr>
      <w:rFonts w:cs="Times New Roman" w:eastAsia="等线 Light"/>
      <w:i/>
      <w:iCs/>
      <w:color w:val="262626"/>
    </w:rPr>
  </w:style>
  <w:style w:type="character" w:customStyle="1" w:styleId="style4105">
    <w:name w:val="Heading 9 Char_74156b2c-366e-4277-b507-d4a17cc8c2dd"/>
    <w:basedOn w:val="style65"/>
    <w:next w:val="style4105"/>
    <w:link w:val="style9"/>
    <w:qFormat/>
    <w:uiPriority w:val="9"/>
    <w:rPr>
      <w:rFonts w:cs="Times New Roman" w:eastAsia="等线 Light"/>
      <w:color w:val="262626"/>
    </w:rPr>
  </w:style>
  <w:style w:type="character" w:customStyle="1" w:styleId="style4106">
    <w:name w:val="Title Char_e3771fa1-edc7-4011-9977-430049bc668f"/>
    <w:basedOn w:val="style65"/>
    <w:next w:val="style4106"/>
    <w:link w:val="style62"/>
    <w:qFormat/>
    <w:uiPriority w:val="10"/>
    <w:rPr>
      <w:rFonts w:ascii="Calibri Light" w:cs="Times New Roman" w:eastAsia="等线 Light" w:hAnsi="Calibri Light"/>
      <w:spacing w:val="-10"/>
      <w:kern w:val="28"/>
      <w:sz w:val="56"/>
      <w:szCs w:val="56"/>
    </w:rPr>
  </w:style>
  <w:style w:type="character" w:customStyle="1" w:styleId="style4107">
    <w:name w:val="Subtitle Char"/>
    <w:basedOn w:val="style65"/>
    <w:next w:val="style4107"/>
    <w:link w:val="style74"/>
    <w:qFormat/>
    <w:uiPriority w:val="11"/>
    <w:rPr>
      <w:rFonts w:cs="Times New Roman" w:eastAsia="等线 Light"/>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ff9a1e8a-0e7e-42b9-bfe0-9dc535e17661"/>
    <w:basedOn w:val="style65"/>
    <w:next w:val="style4108"/>
    <w:link w:val="style180"/>
    <w:qFormat/>
    <w:uiPriority w:val="29"/>
    <w:rPr>
      <w:i/>
      <w:iCs/>
      <w:color w:val="404040"/>
    </w:rPr>
  </w:style>
  <w:style w:type="paragraph" w:styleId="style179">
    <w:name w:val="List Paragraph"/>
    <w:basedOn w:val="style0"/>
    <w:next w:val="style179"/>
    <w:qFormat/>
    <w:uiPriority w:val="34"/>
    <w:pPr>
      <w:ind w:left="720"/>
      <w:contextualSpacing/>
    </w:pPr>
    <w:rPr/>
  </w:style>
  <w:style w:type="character" w:customStyle="1" w:styleId="style4109">
    <w:name w:val="Intense Emphasis1"/>
    <w:basedOn w:val="style65"/>
    <w:next w:val="style4109"/>
    <w:qFormat/>
    <w:uiPriority w:val="21"/>
    <w:rPr>
      <w:i/>
      <w:iCs/>
      <w:color w:val="2f5496"/>
    </w:rPr>
  </w:style>
  <w:style w:type="paragraph" w:styleId="style181">
    <w:name w:val="Intense Quote"/>
    <w:basedOn w:val="style0"/>
    <w:next w:val="style0"/>
    <w:link w:val="style4110"/>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10">
    <w:name w:val="Intense Quote Char_5a2a0ff1-0b9a-4536-b6e3-bfbe68665279"/>
    <w:basedOn w:val="style65"/>
    <w:next w:val="style4110"/>
    <w:link w:val="style181"/>
    <w:uiPriority w:val="30"/>
    <w:rPr>
      <w:i/>
      <w:iCs/>
      <w:color w:val="2f5496"/>
    </w:rPr>
  </w:style>
  <w:style w:type="character" w:customStyle="1" w:styleId="style4111">
    <w:name w:val="Intense Reference1"/>
    <w:basedOn w:val="style65"/>
    <w:next w:val="style4111"/>
    <w:qFormat/>
    <w:uiPriority w:val="32"/>
    <w:rPr>
      <w:b/>
      <w:bCs/>
      <w:smallCaps/>
      <w:color w:val="2f5496"/>
      <w:spacing w:val="5"/>
    </w:rPr>
  </w:style>
  <w:style w:type="paragraph" w:customStyle="1" w:styleId="style4112">
    <w:name w:val="EndNote Bibliography"/>
    <w:basedOn w:val="style0"/>
    <w:next w:val="style4112"/>
    <w:link w:val="style4113"/>
    <w:qFormat/>
    <w:pPr>
      <w:spacing w:lineRule="auto" w:line="240"/>
      <w:jc w:val="both"/>
    </w:pPr>
    <w:rPr>
      <w:rFonts w:ascii="Calibri" w:cs="Calibri" w:hAnsi="Calibri"/>
    </w:rPr>
  </w:style>
  <w:style w:type="character" w:customStyle="1" w:styleId="style4113">
    <w:name w:val="EndNote Bibliography Char"/>
    <w:basedOn w:val="style65"/>
    <w:next w:val="style4113"/>
    <w:link w:val="style4112"/>
    <w:qFormat/>
    <w:rPr>
      <w:rFonts w:ascii="Calibri" w:cs="Calibri" w:eastAsia="等线" w:hAnsi="Calibri"/>
      <w:kern w:val="2"/>
      <w:sz w:val="24"/>
      <w:szCs w:val="24"/>
      <w14:ligatures xmlns:w14="http://schemas.microsoft.com/office/word/2010/wordml" w14:val="standardContextual"/>
    </w:rPr>
  </w:style>
  <w:style w:type="character" w:customStyle="1" w:styleId="style4114">
    <w:name w:val="Unresolved Mention1"/>
    <w:basedOn w:val="style65"/>
    <w:next w:val="style4114"/>
    <w:uiPriority w:val="99"/>
    <w:rPr>
      <w:color w:val="605e5c"/>
      <w:shd w:val="clear" w:color="auto" w:fill="e1dfdd"/>
    </w:rPr>
  </w:style>
  <w:style w:type="character" w:customStyle="1" w:styleId="style4115">
    <w:name w:val="anchor-text"/>
    <w:basedOn w:val="style65"/>
    <w:next w:val="style4115"/>
  </w:style>
  <w:style w:type="paragraph" w:customStyle="1" w:styleId="style4116">
    <w:name w:val="EndNote Bibliography Title"/>
    <w:basedOn w:val="style0"/>
    <w:next w:val="style4116"/>
    <w:link w:val="style4117"/>
    <w:pPr>
      <w:spacing w:after="0"/>
      <w:jc w:val="center"/>
    </w:pPr>
    <w:rPr>
      <w:rFonts w:ascii="Calibri" w:cs="Calibri" w:hAnsi="Calibri"/>
      <w:noProof/>
    </w:rPr>
  </w:style>
  <w:style w:type="character" w:customStyle="1" w:styleId="style4117">
    <w:name w:val="EndNote Bibliography Title Char"/>
    <w:basedOn w:val="style65"/>
    <w:next w:val="style4117"/>
    <w:link w:val="style4116"/>
    <w:rPr>
      <w:rFonts w:ascii="Calibri" w:cs="Calibri" w:eastAsia="等线" w:hAnsi="Calibri"/>
      <w:noProof/>
      <w:kern w:val="2"/>
      <w:sz w:val="24"/>
      <w:szCs w:val="24"/>
      <w14:ligatures xmlns:w14="http://schemas.microsoft.com/office/word/2010/wordml" w14:val="standardContextual"/>
    </w:rPr>
  </w:style>
  <w:style w:type="paragraph" w:styleId="style43">
    <w:name w:val="endnote text"/>
    <w:basedOn w:val="style0"/>
    <w:next w:val="style43"/>
    <w:link w:val="style4118"/>
    <w:uiPriority w:val="99"/>
    <w:pPr>
      <w:spacing w:after="0" w:lineRule="auto" w:line="240"/>
    </w:pPr>
    <w:rPr>
      <w:sz w:val="20"/>
      <w:szCs w:val="20"/>
    </w:rPr>
  </w:style>
  <w:style w:type="character" w:customStyle="1" w:styleId="style4118">
    <w:name w:val="Endnote Text Char"/>
    <w:basedOn w:val="style65"/>
    <w:next w:val="style4118"/>
    <w:link w:val="style43"/>
    <w:uiPriority w:val="99"/>
    <w:rPr>
      <w:rFonts w:eastAsia="等线"/>
      <w:kern w:val="2"/>
      <w14:ligatures xmlns:w14="http://schemas.microsoft.com/office/word/2010/wordml" w14:val="standardContextual"/>
    </w:rPr>
  </w:style>
  <w:style w:type="character" w:styleId="style42">
    <w:name w:val="endnote reference"/>
    <w:basedOn w:val="style65"/>
    <w:next w:val="style42"/>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5B3604-B574-4C64-A1DF-FFA40023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4063</Words>
  <Pages>14</Pages>
  <Characters>25681</Characters>
  <Application>WPS Office</Application>
  <DocSecurity>0</DocSecurity>
  <Paragraphs>199</Paragraphs>
  <ScaleCrop>false</ScaleCrop>
  <LinksUpToDate>false</LinksUpToDate>
  <CharactersWithSpaces>29592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٢٠٢٦-٠٤-٢٨T٢٠:٤٢:٠٠Z</dcterms:created>
  <dc:creator>Ibrahim Hassan Elsayed Hatem</dc:creator>
  <lastModifiedBy>CPH2365</lastModifiedBy>
  <dcterms:modified xsi:type="dcterms:W3CDTF">٢٠٢٦-٠٤-٢٩T٠٤:٤٨:٢٩Z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128dbf3876e145a9bc316486e8c6df17</vt:lpwstr>
  </property>
</Properties>
</file>